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rPr/>
      </w:pPr>
      <w:r>
        <w:rPr/>
        <w:t>Les actes de jugement de l’arbitre</w:t>
      </w:r>
    </w:p>
    <w:p>
      <w:pPr>
        <w:pStyle w:val="Normal"/>
        <w:jc w:val="center"/>
        <w:rPr>
          <w:b/>
          <w:b/>
          <w:color w:val="002060"/>
          <w:sz w:val="24"/>
        </w:rPr>
      </w:pPr>
      <w:r>
        <w:rPr>
          <w:b/>
          <w:color w:val="002060"/>
          <w:sz w:val="24"/>
        </w:rPr>
        <w:t>Une anthropologie cognitive de l’activité de l’arbitre de rugby expérimenté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Difficultés</w:t>
      </w:r>
      <w:r>
        <w:rPr/>
        <w:t> : Se distancer de la manière dont la question est appréhendée sur le terraine → Comment l’arbitrage est-il perçu ?</w:t>
        <w:br/>
      </w:r>
    </w:p>
    <w:p>
      <w:pPr>
        <w:pStyle w:val="Normal"/>
        <w:rPr/>
      </w:pPr>
      <w:r>
        <w:rPr>
          <w:b/>
          <w:u w:val="single"/>
        </w:rPr>
        <w:t>Les problèmes de l’arbitrage</w:t>
      </w:r>
      <w:r>
        <w:rPr/>
        <w:t> :</w:t>
      </w:r>
    </w:p>
    <w:p>
      <w:pPr>
        <w:pStyle w:val="ListParagraph"/>
        <w:numPr>
          <w:ilvl w:val="0"/>
          <w:numId w:val="1"/>
        </w:numPr>
        <w:rPr/>
      </w:pPr>
      <w:r>
        <w:rPr/>
        <w:t>Des arbitres de plus en plus critiqués → « Les arbitres aussi méritent des cartons »</w:t>
      </w:r>
    </w:p>
    <w:p>
      <w:pPr>
        <w:pStyle w:val="ListParagraph"/>
        <w:numPr>
          <w:ilvl w:val="0"/>
          <w:numId w:val="1"/>
        </w:numPr>
        <w:rPr/>
      </w:pPr>
      <w:r>
        <w:rPr/>
        <w:t>Des lacunes apparemment faciles à rectifier</w:t>
      </w:r>
    </w:p>
    <w:p>
      <w:pPr>
        <w:pStyle w:val="ListParagraph"/>
        <w:numPr>
          <w:ilvl w:val="0"/>
          <w:numId w:val="1"/>
        </w:numPr>
        <w:rPr/>
      </w:pPr>
      <w:r>
        <w:rPr/>
        <w:t>Mais des problèmes persistent !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Appréhender autrement l’activité de l’arbitre :</w:t>
      </w:r>
    </w:p>
    <w:p>
      <w:pPr>
        <w:pStyle w:val="ListParagraph"/>
        <w:numPr>
          <w:ilvl w:val="0"/>
          <w:numId w:val="1"/>
        </w:numPr>
        <w:rPr/>
      </w:pPr>
      <w:r>
        <w:rPr/>
        <w:t>Il faut opérer une rupture avec la conception commune :</w:t>
      </w:r>
    </w:p>
    <w:p>
      <w:pPr>
        <w:pStyle w:val="ListParagraph"/>
        <w:numPr>
          <w:ilvl w:val="1"/>
          <w:numId w:val="1"/>
        </w:numPr>
        <w:rPr/>
      </w:pPr>
      <w:r>
        <w:rPr/>
        <w:t>Réalité de la faute : le juste est vrai</w:t>
      </w:r>
    </w:p>
    <w:p>
      <w:pPr>
        <w:pStyle w:val="ListParagraph"/>
        <w:numPr>
          <w:ilvl w:val="1"/>
          <w:numId w:val="1"/>
        </w:numPr>
        <w:rPr/>
      </w:pPr>
      <w:r>
        <w:rPr/>
        <w:t>Règle déterminante</w:t>
      </w:r>
    </w:p>
    <w:p>
      <w:pPr>
        <w:pStyle w:val="ListParagraph"/>
        <w:numPr>
          <w:ilvl w:val="1"/>
          <w:numId w:val="1"/>
        </w:numPr>
        <w:rPr/>
      </w:pPr>
      <w:r>
        <w:rPr/>
        <w:t>L’arbitre connaît le règlement et doit « bien voir » ce qui se passe</w:t>
      </w:r>
    </w:p>
    <w:p>
      <w:pPr>
        <w:pStyle w:val="ListParagraph"/>
        <w:numPr>
          <w:ilvl w:val="0"/>
          <w:numId w:val="1"/>
        </w:numPr>
        <w:rPr>
          <w:i/>
          <w:i/>
        </w:rPr>
      </w:pPr>
      <w:r>
        <w:rPr/>
        <w:t xml:space="preserve">Prendre en compte la complexité de l’activité arbitre : </w:t>
      </w:r>
      <w:r>
        <w:rPr>
          <w:i/>
        </w:rPr>
        <w:t>« La règle doit être sue pour l’appliquer aussi et peut être plus encore pour l’ignorer. »</w:t>
      </w:r>
    </w:p>
    <w:p>
      <w:pPr>
        <w:pStyle w:val="Normal"/>
        <w:jc w:val="center"/>
        <w:rPr>
          <w:rFonts w:ascii="Arial" w:hAnsi="Arial" w:cs="Arial"/>
          <w:b/>
          <w:b/>
          <w:sz w:val="24"/>
        </w:rPr>
      </w:pPr>
      <w:r>
        <w:rPr>
          <w:rFonts w:cs="Arial" w:ascii="Arial" w:hAnsi="Arial"/>
          <w:b/>
          <w:sz w:val="24"/>
        </w:rPr>
        <w:t>« Que fait l’arbitre au moment même où il arbitre ? »</w:t>
      </w:r>
    </w:p>
    <w:p>
      <w:pPr>
        <w:pStyle w:val="Normal"/>
        <w:rPr>
          <w:b/>
          <w:b/>
          <w:u w:val="single"/>
        </w:rPr>
      </w:pPr>
      <w:r>
        <w:rPr/>
        <w:br/>
      </w:r>
      <w:r>
        <w:rPr>
          <w:b/>
          <w:u w:val="single"/>
        </w:rPr>
        <w:t>Une conception de l’action et des connaissances :</w:t>
      </w:r>
    </w:p>
    <w:p>
      <w:pPr>
        <w:pStyle w:val="ListParagraph"/>
        <w:numPr>
          <w:ilvl w:val="0"/>
          <w:numId w:val="1"/>
        </w:numPr>
        <w:rPr/>
      </w:pPr>
      <w:r>
        <w:rPr/>
        <w:t>Pas de dualisme ni sujet/monde, ni corps/esprit</w:t>
      </w:r>
    </w:p>
    <w:p>
      <w:pPr>
        <w:pStyle w:val="ListParagraph"/>
        <w:numPr>
          <w:ilvl w:val="0"/>
          <w:numId w:val="1"/>
        </w:numPr>
        <w:rPr/>
      </w:pPr>
      <w:r>
        <w:rPr/>
        <w:t>L’action comme signification incarnée : irréductibilité de l’action au discours</w:t>
      </w:r>
    </w:p>
    <w:p>
      <w:pPr>
        <w:pStyle w:val="ListParagraph"/>
        <w:rPr/>
      </w:pPr>
      <w:r>
        <w:rPr/>
        <w:t>Je pars d’un postulat théorique, que je ne peux démontrer : l’action est une signification incarnée, elle est avant tout agit, elle est le sens que donne l’acteur à son mode, et est implicite.</w:t>
      </w:r>
    </w:p>
    <w:p>
      <w:pPr>
        <w:pStyle w:val="ListParagraph"/>
        <w:numPr>
          <w:ilvl w:val="0"/>
          <w:numId w:val="1"/>
        </w:numPr>
        <w:rPr/>
      </w:pPr>
      <w:r>
        <w:rPr/>
        <w:t>Une signification antéprédicative</w:t>
      </w:r>
    </w:p>
    <w:p>
      <w:pPr>
        <w:pStyle w:val="ListParagraph"/>
        <w:numPr>
          <w:ilvl w:val="0"/>
          <w:numId w:val="1"/>
        </w:numPr>
        <w:rPr/>
      </w:pPr>
      <w:r>
        <w:rPr/>
        <w:t>Une situation propre à l’acteur : s’intéresse à son vécu</w:t>
      </w:r>
    </w:p>
    <w:p>
      <w:pPr>
        <w:pStyle w:val="ListParagraph"/>
        <w:numPr>
          <w:ilvl w:val="0"/>
          <w:numId w:val="1"/>
        </w:numPr>
        <w:rPr/>
      </w:pPr>
      <w:r>
        <w:rPr/>
        <w:t>Pertinence située de l’activité et des connaissances</w:t>
      </w:r>
    </w:p>
    <w:p>
      <w:pPr>
        <w:pStyle w:val="Normal"/>
        <w:rPr/>
      </w:pPr>
      <w:r>
        <w:rPr/>
        <w:t>Les connaissances qui sont à l’œuvre quand j’arbitre ne sont pas les mêmes que celles qui sont à l’œuvre quand je parle d’arbitrage.</w:t>
      </w:r>
    </w:p>
    <w:p>
      <w:pPr>
        <w:pStyle w:val="ListParagraph"/>
        <w:numPr>
          <w:ilvl w:val="0"/>
          <w:numId w:val="2"/>
        </w:numPr>
        <w:rPr/>
      </w:pPr>
      <w:r>
        <w:rPr>
          <w:u w:val="single"/>
        </w:rPr>
        <w:t>Problématique</w:t>
      </w:r>
      <w:r>
        <w:rPr/>
        <w:t> : Etudier l’activité de l’arbitre en situation de match en se posant la question du mode de connaissance sous-jacent à l’activité de l’arbitre, de la nature de ses jugements.</w:t>
      </w:r>
    </w:p>
    <w:p>
      <w:pPr>
        <w:pStyle w:val="ListParagraph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Des difficultés à surmonter</w:t>
      </w:r>
      <w:r>
        <w:rPr/>
        <w:t> :</w:t>
      </w:r>
    </w:p>
    <w:p>
      <w:pPr>
        <w:pStyle w:val="ListParagraph"/>
        <w:numPr>
          <w:ilvl w:val="0"/>
          <w:numId w:val="1"/>
        </w:numPr>
        <w:rPr/>
      </w:pPr>
      <w:r>
        <w:rPr/>
        <w:t>Une activité publique</w:t>
      </w:r>
    </w:p>
    <w:p>
      <w:pPr>
        <w:pStyle w:val="ListParagraph"/>
        <w:numPr>
          <w:ilvl w:val="0"/>
          <w:numId w:val="1"/>
        </w:numPr>
        <w:rPr/>
      </w:pPr>
      <w:r>
        <w:rPr/>
        <w:t>Une observation insuffisante</w:t>
      </w:r>
    </w:p>
    <w:p>
      <w:pPr>
        <w:pStyle w:val="ListParagraph"/>
        <w:numPr>
          <w:ilvl w:val="0"/>
          <w:numId w:val="1"/>
        </w:numPr>
        <w:rPr/>
      </w:pPr>
      <w:r>
        <w:rPr/>
        <w:t>Une cristallisation des discours autour de justifications</w:t>
      </w:r>
    </w:p>
    <w:p>
      <w:pPr>
        <w:pStyle w:val="ListParagraph"/>
        <w:numPr>
          <w:ilvl w:val="1"/>
          <w:numId w:val="1"/>
        </w:numPr>
        <w:rPr/>
      </w:pPr>
      <w:r>
        <w:rPr/>
        <w:t>Une manière spontanée de parler de son activité</w:t>
      </w:r>
    </w:p>
    <w:p>
      <w:pPr>
        <w:pStyle w:val="ListParagraph"/>
        <w:numPr>
          <w:ilvl w:val="1"/>
          <w:numId w:val="1"/>
        </w:numPr>
        <w:rPr/>
      </w:pPr>
      <w:r>
        <w:rPr/>
        <w:t>Une difficulté relative à la nature de la signification</w:t>
      </w:r>
    </w:p>
    <w:p>
      <w:pPr>
        <w:pStyle w:val="Normal"/>
        <w:rPr/>
      </w:pPr>
      <w:r>
        <w:rPr/>
        <w:t>Les discours quotidiens ne suffisent pas.</w:t>
      </w:r>
    </w:p>
    <w:p>
      <w:pPr>
        <w:pStyle w:val="Normal"/>
        <w:rPr/>
      </w:pPr>
      <w:r>
        <w:rPr>
          <w:b/>
          <w:u w:val="single"/>
        </w:rPr>
        <w:t>Une méthode ad hoc</w:t>
      </w:r>
      <w:r>
        <w:rPr/>
        <w:t> : (= pas de méthode absolue)</w:t>
      </w:r>
    </w:p>
    <w:p>
      <w:pPr>
        <w:pStyle w:val="ListParagraph"/>
        <w:numPr>
          <w:ilvl w:val="0"/>
          <w:numId w:val="3"/>
        </w:numPr>
        <w:rPr/>
      </w:pPr>
      <w:r>
        <w:rPr/>
        <w:t>Une observation participante</w:t>
      </w:r>
    </w:p>
    <w:p>
      <w:pPr>
        <w:pStyle w:val="Normal"/>
        <w:rPr/>
      </w:pPr>
      <w:r>
        <w:rPr/>
        <w:t>L’observation est nécessaire.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Un </w:t>
      </w:r>
      <w:r>
        <w:rPr>
          <w:b/>
          <w:color w:val="FF0000"/>
          <w:u w:val="single"/>
        </w:rPr>
        <w:t>enregistrement du comportement de l’arbitre</w:t>
      </w:r>
      <w:r>
        <w:rPr>
          <w:color w:val="FF0000"/>
        </w:rPr>
        <w:t> </w:t>
      </w:r>
      <w:r>
        <w:rPr/>
        <w:t>: une vision de l’extérieur.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Une </w:t>
      </w:r>
      <w:r>
        <w:rPr>
          <w:b/>
          <w:color w:val="FF0000"/>
          <w:u w:val="single"/>
        </w:rPr>
        <w:t>perspective proche de celle de l’arbitre en match</w:t>
      </w:r>
      <w:r>
        <w:rPr>
          <w:color w:val="FF0000"/>
        </w:rPr>
        <w:t> </w:t>
      </w:r>
      <w:r>
        <w:rPr/>
        <w:t xml:space="preserve">: une perspective subjective située. </w:t>
      </w:r>
    </w:p>
    <w:p>
      <w:pPr>
        <w:pStyle w:val="ListParagraph"/>
        <w:rPr/>
      </w:pPr>
      <w:r>
        <w:rPr/>
        <w:t>Si j’avais une perspective plus proche de la sienne en situation, il serait plus en mesure d’amener à la conscience cette signification, de l’expliciter.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Un </w:t>
      </w:r>
      <w:r>
        <w:rPr>
          <w:b/>
          <w:color w:val="FF0000"/>
          <w:u w:val="single"/>
        </w:rPr>
        <w:t>entretien en re-situ subjectif</w:t>
      </w:r>
    </w:p>
    <w:p>
      <w:pPr>
        <w:pStyle w:val="Normal"/>
        <w:rPr>
          <w:i/>
          <w:i/>
        </w:rPr>
      </w:pPr>
      <w:r>
        <w:rPr>
          <w:b/>
          <w:i/>
          <w:u w:val="single"/>
        </w:rPr>
        <w:t>Exemple</w:t>
      </w:r>
      <w:r>
        <w:rPr>
          <w:i/>
        </w:rPr>
        <w:t> : Caméra au niveau de l’arbitre : point de vue de l’arbitre. Au cours de l’entretien, c’est un support qui permet pas à pas, de revenir avec lui sur « qu’est ce qui importe ? » pour lui, ce qui permettra d’établir les catégories cognitives.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u w:val="single"/>
        </w:rPr>
        <w:t>Les actes de jugement</w:t>
      </w:r>
      <w:r>
        <w:rPr/>
        <w:t>:</w:t>
      </w:r>
    </w:p>
    <w:p>
      <w:pPr>
        <w:pStyle w:val="ListParagraph"/>
        <w:numPr>
          <w:ilvl w:val="0"/>
          <w:numId w:val="4"/>
        </w:numPr>
        <w:rPr/>
      </w:pPr>
      <w:r>
        <w:rPr/>
        <w:t>Nécessaire pour problématiser l'activité de l'arbitre, pour envisager ce que fait l'arbitre au moment même où il arbitre sans dissocier ses actes de ses jugements.</w:t>
      </w:r>
    </w:p>
    <w:p>
      <w:pPr>
        <w:pStyle w:val="ListParagraph"/>
        <w:numPr>
          <w:ilvl w:val="0"/>
          <w:numId w:val="4"/>
        </w:numPr>
        <w:rPr/>
      </w:pPr>
      <w:r>
        <w:rPr>
          <w:b/>
          <w:i/>
          <w:color w:val="FF0000"/>
        </w:rPr>
        <w:t>Acte de jugement</w:t>
      </w:r>
      <w:r>
        <w:rPr>
          <w:color w:val="FF0000"/>
        </w:rPr>
        <w:t xml:space="preserve"> </w:t>
      </w:r>
      <w:r>
        <w:rPr/>
        <w:t>défini, comme le processus au cours duquel l'arbitre impose « quelque chose » aux joueurs.</w:t>
      </w:r>
    </w:p>
    <w:p>
      <w:pPr>
        <w:pStyle w:val="ListParagraph"/>
        <w:rPr>
          <w:b/>
          <w:b/>
          <w:i/>
          <w:i/>
          <w:color w:val="FF0000"/>
        </w:rPr>
      </w:pPr>
      <w:r>
        <w:rPr>
          <w:b/>
          <w:i/>
          <w:color w:val="FF0000"/>
        </w:rPr>
      </w:r>
    </w:p>
    <w:p>
      <w:pPr>
        <w:pStyle w:val="ListParagraph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4445" distL="0" distR="6985">
            <wp:extent cx="5232400" cy="3443605"/>
            <wp:effectExtent l="0" t="0" r="0" b="0"/>
            <wp:docPr id="1" name="Imag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3455" t="25462" r="21866" b="105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w:rPr>
          <w:b/>
          <w:u w:val="single"/>
        </w:rPr>
        <w:t>Caractéristiques génériques des actes de jugement:</w:t>
      </w:r>
    </w:p>
    <w:p>
      <w:pPr>
        <w:pStyle w:val="ListParagraph"/>
        <w:numPr>
          <w:ilvl w:val="0"/>
          <w:numId w:val="5"/>
        </w:numPr>
        <w:rPr>
          <w:b/>
          <w:b/>
          <w:u w:val="single"/>
        </w:rPr>
      </w:pPr>
      <w:r>
        <w:rPr/>
        <w:t>Tout acte de jugement de l'arbitre décrit une situation</w:t>
      </w:r>
    </w:p>
    <w:p>
      <w:pPr>
        <w:pStyle w:val="ListParagraph"/>
        <w:numPr>
          <w:ilvl w:val="0"/>
          <w:numId w:val="5"/>
        </w:numPr>
        <w:rPr>
          <w:b/>
          <w:b/>
          <w:u w:val="single"/>
        </w:rPr>
      </w:pPr>
      <w:r>
        <w:rPr/>
        <w:t>Toutes ses descriptions sont performatives</w:t>
      </w:r>
    </w:p>
    <w:p>
      <w:pPr>
        <w:pStyle w:val="ListParagraph"/>
        <w:numPr>
          <w:ilvl w:val="0"/>
          <w:numId w:val="5"/>
        </w:numPr>
        <w:rPr>
          <w:b/>
          <w:b/>
          <w:u w:val="single"/>
        </w:rPr>
      </w:pPr>
      <w:r>
        <w:rPr/>
        <w:t>Les règles du jeu sont impliquées dans chaque acte de jugement.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u w:val="single"/>
        </w:rPr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1EB77F5F">
                <wp:simplePos x="0" y="0"/>
                <wp:positionH relativeFrom="column">
                  <wp:posOffset>-5715</wp:posOffset>
                </wp:positionH>
                <wp:positionV relativeFrom="paragraph">
                  <wp:posOffset>274955</wp:posOffset>
                </wp:positionV>
                <wp:extent cx="3337560" cy="1525270"/>
                <wp:effectExtent l="0" t="0" r="0" b="0"/>
                <wp:wrapNone/>
                <wp:docPr id="2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6840" cy="15246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/>
                                <w:color w:val="FF0000"/>
                                <w:u w:val="single"/>
                              </w:rPr>
                            </w:pPr>
                            <w:r>
                              <w:rPr>
                                <w:color w:val="FF0000"/>
                                <w:u w:val="single"/>
                              </w:rPr>
                              <w:t>Une conception en termes d'application des règles: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b/>
                                <w:b/>
                                <w:u w:val="single"/>
                              </w:rPr>
                            </w:pPr>
                            <w:r>
                              <w:rPr/>
                              <w:t>Réalité de la faute: le juste est le vrai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/>
                              <w:t>Règle déterminante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/>
                              <w:t>L'arbitre connaît le règlement et doit « bien voir » ce qui se passe</w:t>
                            </w:r>
                          </w:p>
                          <w:p>
                            <w:pPr>
                              <w:pStyle w:val="Contenudecadre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2" stroked="f" style="position:absolute;margin-left:-0.45pt;margin-top:21.65pt;width:262.7pt;height:120pt" wp14:anchorId="1EB77F5F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/>
                          <w:color w:val="FF0000"/>
                          <w:u w:val="single"/>
                        </w:rPr>
                      </w:pPr>
                      <w:r>
                        <w:rPr>
                          <w:color w:val="FF0000"/>
                          <w:u w:val="single"/>
                        </w:rPr>
                        <w:t>Une conception en termes d'application des règles:</w:t>
                      </w:r>
                    </w:p>
                    <w:p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b/>
                          <w:b/>
                          <w:u w:val="single"/>
                        </w:rPr>
                      </w:pPr>
                      <w:r>
                        <w:rPr/>
                        <w:t>Réalité de la faute: le juste est le vrai</w:t>
                      </w:r>
                    </w:p>
                    <w:p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b/>
                          <w:b/>
                          <w:bCs/>
                        </w:rPr>
                      </w:pPr>
                      <w:r>
                        <w:rPr/>
                        <w:t>Règle déterminante</w:t>
                      </w:r>
                    </w:p>
                    <w:p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b/>
                          <w:b/>
                          <w:bCs/>
                        </w:rPr>
                      </w:pPr>
                      <w:r>
                        <w:rPr/>
                        <w:t>L'arbitre connaît le règlement et doit « bien voir » ce qui se passe</w:t>
                      </w:r>
                    </w:p>
                    <w:p>
                      <w:pPr>
                        <w:pStyle w:val="Contenudecadre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3" wp14:anchorId="1E717071">
                <wp:simplePos x="0" y="0"/>
                <wp:positionH relativeFrom="column">
                  <wp:posOffset>3484880</wp:posOffset>
                </wp:positionH>
                <wp:positionV relativeFrom="paragraph">
                  <wp:posOffset>248285</wp:posOffset>
                </wp:positionV>
                <wp:extent cx="3515360" cy="1917700"/>
                <wp:effectExtent l="0" t="0" r="0" b="0"/>
                <wp:wrapNone/>
                <wp:docPr id="4" name="Zon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4680" cy="1917000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color w:val="FF0000"/>
                                <w:u w:val="single"/>
                              </w:rPr>
                              <w:t>Une conception en termes d'acte de jugement</w:t>
                            </w:r>
                            <w:r>
                              <w:rPr/>
                              <w:t>: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/>
                              <w:t>Faute dépend du rapport de l'arbitre aux actions des joueurs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/>
                              <w:t>Règle permet à l'arbitre de co-construire le jeu: pouvoir, fond commun</w:t>
                            </w:r>
                          </w:p>
                          <w:p>
                            <w:pPr>
                              <w:pStyle w:val="ListParagraph"/>
                              <w:numPr>
                                <w:ilvl w:val="1"/>
                                <w:numId w:val="5"/>
                              </w:numPr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/>
                              <w:t>L'arbitre co-construit avec les joueurs le déroulement du jeu en les amenant dans son monde du rugby</w:t>
                            </w:r>
                          </w:p>
                          <w:p>
                            <w:pPr>
                              <w:pStyle w:val="Contenudecadre"/>
                              <w:spacing w:before="0" w:after="20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id="shape_0" ID="Zone de texte 2" stroked="f" style="position:absolute;margin-left:274.4pt;margin-top:19.55pt;width:276.7pt;height:150.9pt" wp14:anchorId="1E717071">
                <w10:wrap type="square"/>
                <v:fill o:detectmouseclick="t" on="false"/>
                <v:stroke color="#3465a4" weight="9360" joinstyle="miter" endcap="flat"/>
                <v:textbox>
                  <w:txbxContent>
                    <w:p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b/>
                          <w:b/>
                          <w:bCs/>
                        </w:rPr>
                      </w:pPr>
                      <w:r>
                        <w:rPr>
                          <w:color w:val="FF0000"/>
                          <w:u w:val="single"/>
                        </w:rPr>
                        <w:t>Une conception en termes d'acte de jugement</w:t>
                      </w:r>
                      <w:r>
                        <w:rPr/>
                        <w:t>:</w:t>
                      </w:r>
                    </w:p>
                    <w:p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b/>
                          <w:b/>
                          <w:bCs/>
                        </w:rPr>
                      </w:pPr>
                      <w:r>
                        <w:rPr/>
                        <w:t>Faute dépend du rapport de l'arbitre aux actions des joueurs</w:t>
                      </w:r>
                    </w:p>
                    <w:p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b/>
                          <w:b/>
                          <w:bCs/>
                        </w:rPr>
                      </w:pPr>
                      <w:r>
                        <w:rPr/>
                        <w:t>Règle permet à l'arbitre de co-construire le jeu: pouvoir, fond commun</w:t>
                      </w:r>
                    </w:p>
                    <w:p>
                      <w:pPr>
                        <w:pStyle w:val="ListParagraph"/>
                        <w:numPr>
                          <w:ilvl w:val="1"/>
                          <w:numId w:val="5"/>
                        </w:numPr>
                        <w:rPr>
                          <w:b/>
                          <w:b/>
                          <w:bCs/>
                        </w:rPr>
                      </w:pPr>
                      <w:r>
                        <w:rPr/>
                        <w:t>L'arbitre co-construit avec les joueurs le déroulement du jeu en les amenant dans son monde du rugby</w:t>
                      </w:r>
                    </w:p>
                    <w:p>
                      <w:pPr>
                        <w:pStyle w:val="Contenudecadre"/>
                        <w:spacing w:before="0" w:after="20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u w:val="single"/>
        </w:rPr>
        <w:t>Deux conceptions de l'arbitrage:</w:t>
      </w:r>
    </w:p>
    <w:p>
      <w:pPr>
        <w:pStyle w:val="ListParagraph"/>
        <w:ind w:left="216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216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216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216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216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216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216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216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2160" w:hanging="0"/>
        <w:rPr>
          <w:b/>
          <w:b/>
          <w:bCs/>
        </w:rPr>
      </w:pPr>
      <w:r>
        <w:rPr>
          <w:b/>
          <w:bCs/>
        </w:rPr>
      </w:r>
    </w:p>
    <w:p>
      <w:pPr>
        <w:pStyle w:val="ListParagraph"/>
        <w:ind w:left="216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u w:val="single"/>
        </w:rPr>
        <w:t>Des réflexions, des perspectives: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/>
        <w:t>Réinterpréter les incompréhensions des coups de sifflet de l'arbitre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/>
        <w:t>Montrer l'importance de construire et consolider un fond commun, une culture commune du jeu</w:t>
      </w:r>
    </w:p>
    <w:p>
      <w:pPr>
        <w:pStyle w:val="ListParagraph"/>
        <w:numPr>
          <w:ilvl w:val="0"/>
          <w:numId w:val="6"/>
        </w:numPr>
        <w:rPr>
          <w:b/>
          <w:b/>
          <w:bCs/>
        </w:rPr>
      </w:pPr>
      <w:r>
        <w:rPr/>
        <w:t>Avantages/limites de la vidéo, de la communication avec les assesseurs... Une autre perspective sur les questions vives de l'arbitrage</w:t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jc w:val="center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rFonts w:cs="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2"/>
      <w:numFmt w:val="bullet"/>
      <w:lvlText w:val=""/>
      <w:lvlJc w:val="left"/>
      <w:pPr>
        <w:ind w:left="720" w:hanging="360"/>
      </w:pPr>
      <w:rPr>
        <w:rFonts w:ascii="Wingdings" w:hAnsi="Wingdings" w:cs="Wingdings" w:hint="default"/>
        <w:b/>
        <w:rFonts w:cs="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2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b/>
        <w:rFonts w:cs="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  <w:color w:val="FF000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FF0000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color w:val="FF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Car" w:customStyle="1">
    <w:name w:val="Titre Car"/>
    <w:basedOn w:val="DefaultParagraphFont"/>
    <w:link w:val="Titre"/>
    <w:uiPriority w:val="10"/>
    <w:qFormat/>
    <w:rsid w:val="00082eb9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1057b0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Calibri" w:cs=""/>
      <w:b/>
      <w:color w:val="FF0000"/>
    </w:rPr>
  </w:style>
  <w:style w:type="character" w:styleId="ListLabel2">
    <w:name w:val="ListLabel 2"/>
    <w:qFormat/>
    <w:rPr>
      <w:rFonts w:cs="Courier New"/>
      <w:b/>
      <w:color w:val="FF0000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"/>
      <w:b/>
      <w:color w:val="FF0000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"/>
      <w:b/>
      <w:color w:val="FF0000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OpenSymbol" w:cs="OpenSymbol"/>
    </w:rPr>
  </w:style>
  <w:style w:type="character" w:styleId="ListLabel14">
    <w:name w:val="ListLabel 14"/>
    <w:qFormat/>
    <w:rPr>
      <w:rFonts w:eastAsia="OpenSymbol" w:cs="OpenSymbol"/>
    </w:rPr>
  </w:style>
  <w:style w:type="character" w:styleId="ListLabel15">
    <w:name w:val="ListLabel 15"/>
    <w:qFormat/>
    <w:rPr>
      <w:rFonts w:eastAsia="OpenSymbol" w:cs="OpenSymbol"/>
    </w:rPr>
  </w:style>
  <w:style w:type="character" w:styleId="ListLabel16">
    <w:name w:val="ListLabel 16"/>
    <w:qFormat/>
    <w:rPr>
      <w:rFonts w:eastAsia="OpenSymbol" w:cs="OpenSymbol"/>
    </w:rPr>
  </w:style>
  <w:style w:type="character" w:styleId="ListLabel17">
    <w:name w:val="ListLabel 17"/>
    <w:qFormat/>
    <w:rPr>
      <w:rFonts w:eastAsia="OpenSymbol" w:cs="OpenSymbol"/>
    </w:rPr>
  </w:style>
  <w:style w:type="character" w:styleId="ListLabel18">
    <w:name w:val="ListLabel 18"/>
    <w:qFormat/>
    <w:rPr>
      <w:rFonts w:eastAsia="OpenSymbol" w:cs="OpenSymbol"/>
    </w:rPr>
  </w:style>
  <w:style w:type="character" w:styleId="ListLabel19">
    <w:name w:val="ListLabel 19"/>
    <w:qFormat/>
    <w:rPr>
      <w:rFonts w:eastAsia="OpenSymbol" w:cs="OpenSymbol"/>
    </w:rPr>
  </w:style>
  <w:style w:type="character" w:styleId="ListLabel20">
    <w:name w:val="ListLabel 20"/>
    <w:qFormat/>
    <w:rPr>
      <w:rFonts w:eastAsia="OpenSymbol" w:cs="OpenSymbol"/>
    </w:rPr>
  </w:style>
  <w:style w:type="character" w:styleId="ListLabel21">
    <w:name w:val="ListLabel 21"/>
    <w:qFormat/>
    <w:rPr>
      <w:rFonts w:eastAsia="OpenSymbol" w:cs="OpenSymbol"/>
    </w:rPr>
  </w:style>
  <w:style w:type="character" w:styleId="ListLabel22">
    <w:name w:val="ListLabel 22"/>
    <w:qFormat/>
    <w:rPr>
      <w:rFonts w:eastAsia="OpenSymbol" w:cs="OpenSymbol"/>
    </w:rPr>
  </w:style>
  <w:style w:type="character" w:styleId="ListLabel23">
    <w:name w:val="ListLabel 23"/>
    <w:qFormat/>
    <w:rPr>
      <w:rFonts w:eastAsia="OpenSymbol" w:cs="OpenSymbol"/>
    </w:rPr>
  </w:style>
  <w:style w:type="character" w:styleId="ListLabel24">
    <w:name w:val="ListLabel 24"/>
    <w:qFormat/>
    <w:rPr>
      <w:rFonts w:eastAsia="OpenSymbol" w:cs="OpenSymbol"/>
    </w:rPr>
  </w:style>
  <w:style w:type="character" w:styleId="ListLabel25">
    <w:name w:val="ListLabel 25"/>
    <w:qFormat/>
    <w:rPr>
      <w:rFonts w:eastAsia="OpenSymbol" w:cs="OpenSymbol"/>
    </w:rPr>
  </w:style>
  <w:style w:type="character" w:styleId="ListLabel26">
    <w:name w:val="ListLabel 26"/>
    <w:qFormat/>
    <w:rPr>
      <w:rFonts w:eastAsia="OpenSymbol" w:cs="OpenSymbol"/>
    </w:rPr>
  </w:style>
  <w:style w:type="character" w:styleId="ListLabel27">
    <w:name w:val="ListLabel 27"/>
    <w:qFormat/>
    <w:rPr>
      <w:rFonts w:eastAsia="OpenSymbol" w:cs="OpenSymbol"/>
    </w:rPr>
  </w:style>
  <w:style w:type="character" w:styleId="ListLabel28">
    <w:name w:val="ListLabel 28"/>
    <w:qFormat/>
    <w:rPr>
      <w:rFonts w:eastAsia="OpenSymbol" w:cs="OpenSymbol"/>
    </w:rPr>
  </w:style>
  <w:style w:type="character" w:styleId="ListLabel29">
    <w:name w:val="ListLabel 29"/>
    <w:qFormat/>
    <w:rPr>
      <w:rFonts w:eastAsia="OpenSymbol" w:cs="OpenSymbol"/>
    </w:rPr>
  </w:style>
  <w:style w:type="character" w:styleId="ListLabel30">
    <w:name w:val="ListLabel 30"/>
    <w:qFormat/>
    <w:rPr>
      <w:rFonts w:eastAsia="OpenSymbol" w:cs="OpenSymbol"/>
    </w:rPr>
  </w:style>
  <w:style w:type="character" w:styleId="ListLabel31">
    <w:name w:val="ListLabel 31"/>
    <w:qFormat/>
    <w:rPr>
      <w:color w:val="FF0000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b/>
      <w:color w:val="FF0000"/>
    </w:rPr>
  </w:style>
  <w:style w:type="character" w:styleId="ListLabel36">
    <w:name w:val="ListLabel 36"/>
    <w:qFormat/>
    <w:rPr>
      <w:rFonts w:cs="Courier New"/>
      <w:b/>
      <w:color w:val="FF0000"/>
    </w:rPr>
  </w:style>
  <w:style w:type="character" w:styleId="ListLabel37">
    <w:name w:val="ListLabel 37"/>
    <w:qFormat/>
    <w:rPr>
      <w:color w:val="FF0000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b/>
      <w:color w:val="FF0000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andard" w:customStyle="1">
    <w:name w:val="Standard"/>
    <w:qFormat/>
    <w:rsid w:val="00082eb9"/>
    <w:pPr>
      <w:widowControl w:val="false"/>
      <w:suppressAutoHyphens w:val="true"/>
      <w:bidi w:val="0"/>
      <w:spacing w:lineRule="auto" w:line="240" w:before="0" w:after="0"/>
      <w:jc w:val="left"/>
      <w:textAlignment w:val="baseline"/>
    </w:pPr>
    <w:rPr>
      <w:rFonts w:ascii="Times New Roman" w:hAnsi="Times New Roman" w:eastAsia="SimSun" w:cs="Mangal"/>
      <w:color w:val="auto"/>
      <w:sz w:val="24"/>
      <w:szCs w:val="24"/>
      <w:lang w:eastAsia="zh-CN" w:bidi="hi-IN" w:val="fr-FR"/>
    </w:rPr>
  </w:style>
  <w:style w:type="paragraph" w:styleId="Titreprincipal">
    <w:name w:val="Title"/>
    <w:basedOn w:val="Normal"/>
    <w:next w:val="Normal"/>
    <w:link w:val="TitreCar"/>
    <w:uiPriority w:val="10"/>
    <w:qFormat/>
    <w:rsid w:val="00082eb9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082eb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1057b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LibreOffice/5.1.5.2$MacOSX_X86_64 LibreOffice_project/7a864d8825610a8c07cfc3bc01dd4fce6a9447e5</Application>
  <Pages>3</Pages>
  <Words>682</Words>
  <Characters>3425</Characters>
  <CharactersWithSpaces>4012</CharactersWithSpaces>
  <Paragraphs>60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2015-02-25T14:15:00Z</dcterms:created>
  <dc:creator>Julie</dc:creator>
  <dc:description/>
  <dc:language>fr-FR</dc:language>
  <cp:lastModifiedBy/>
  <dcterms:modified xsi:type="dcterms:W3CDTF">2017-04-28T15:43:52Z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