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824"/>
                  </w:pPr>
                </w:p>
                <w:p>
                  <w:pPr>
                    <w:spacing w:after="200"/>
                  </w:pPr>
                  <w:r>
                    <w:rPr>
                      <w:rFonts w:ascii="Arial" w:eastAsia="SimHei"/>
                      <w:b/>
                      <w:bCs/>
                      <w:color w:val="FFFFFF"/>
                      <w:sz w:val="80"/>
                      <w:szCs w:val="80"/>
                    </w:rPr>
                    <w:t xml:space="preserve">学海星槎</w:t>
                  </w:r>
                </w:p>
                <w:p>
                  <w:pPr>
                    <w:spacing w:after="100"/>
                  </w:pPr>
                  <w:r>
                    <w:rPr>
                      <w:rFonts w:ascii="Arial" w:eastAsia="Microsoft YaHei"/>
                      <w:color w:val="B0B8C0"/>
                      <w:sz w:val="24"/>
                      <w:szCs w:val="24"/>
                    </w:rPr>
                    <w:t xml:space="preserve">游戏化智能学习与对战平台 · 项目计划书</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ind w:left="1200"/>
            </w:pPr>
            <w:r>
              <w:rPr>
                <w:rFonts w:ascii="Arial" w:eastAsia="Microsoft YaHei"/>
                <w:color w:val="90989F"/>
                <w:sz w:val="28"/>
                <w:szCs w:val="28"/>
              </w:rPr>
              <w:t xml:space="preserve">项目名称：学海星槎</w:t>
            </w:r>
          </w:p>
          <w:p>
            <w:pPr>
              <w:spacing w:after="100"/>
              <w:ind w:left="1200"/>
            </w:pPr>
            <w:r>
              <w:rPr>
                <w:rFonts w:ascii="Arial" w:eastAsia="Microsoft YaHei"/>
                <w:color w:val="90989F"/>
                <w:sz w:val="28"/>
                <w:szCs w:val="28"/>
              </w:rPr>
              <w:t xml:space="preserve">所属领域：信息技术服务业（应用软件开发 / 数字内容服务）</w:t>
            </w:r>
          </w:p>
          <w:p>
            <w:pPr>
              <w:spacing w:after="100"/>
              <w:ind w:left="1200"/>
            </w:pPr>
            <w:r>
              <w:rPr>
                <w:rFonts w:ascii="Arial" w:eastAsia="Microsoft YaHei"/>
                <w:color w:val="90989F"/>
                <w:sz w:val="28"/>
                <w:szCs w:val="28"/>
              </w:rPr>
              <w:t xml:space="preserve">参赛组别：【本科生创意组，请按实际情况填写】</w:t>
            </w:r>
          </w:p>
          <w:p>
            <w:pPr>
              <w:spacing w:after="100"/>
              <w:ind w:left="1200"/>
            </w:pPr>
            <w:r>
              <w:rPr>
                <w:rFonts w:ascii="Arial" w:eastAsia="Microsoft YaHei"/>
                <w:color w:val="90989F"/>
                <w:sz w:val="28"/>
                <w:szCs w:val="28"/>
              </w:rPr>
              <w:t xml:space="preserve">项目负责人：【姓名】</w:t>
            </w:r>
          </w:p>
          <w:p>
            <w:pPr>
              <w:spacing w:after="100"/>
              <w:ind w:left="1200"/>
            </w:pPr>
            <w:r>
              <w:rPr>
                <w:rFonts w:ascii="Arial" w:eastAsia="Microsoft YaHei"/>
                <w:color w:val="90989F"/>
                <w:sz w:val="28"/>
                <w:szCs w:val="28"/>
              </w:rPr>
              <w:t xml:space="preserve">团队名称：【团队名称】</w:t>
            </w:r>
          </w:p>
          <w:p>
            <w:pPr>
              <w:spacing w:after="100"/>
              <w:ind w:left="1200"/>
            </w:pPr>
            <w:r>
              <w:rPr>
                <w:rFonts w:ascii="Arial" w:eastAsia="Microsoft YaHei"/>
                <w:color w:val="90989F"/>
                <w:sz w:val="28"/>
                <w:szCs w:val="28"/>
              </w:rPr>
              <w:t xml:space="preserve">所在学校：【学校名称】</w:t>
            </w:r>
          </w:p>
          <w:p>
            <w:pPr>
              <w:spacing w:after="100"/>
              <w:ind w:left="1200"/>
            </w:pPr>
            <w:r>
              <w:rPr>
                <w:rFonts w:ascii="Arial" w:eastAsia="Microsoft YaHei"/>
                <w:color w:val="90989F"/>
                <w:sz w:val="28"/>
                <w:szCs w:val="28"/>
              </w:rPr>
              <w:t xml:space="preserve">指导教师：【指导教师姓名】</w:t>
            </w:r>
          </w:p>
          <w:p>
            <w:pPr>
              <w:spacing w:after="100"/>
              <w:ind w:left="1200"/>
            </w:pPr>
            <w:r>
              <w:rPr>
                <w:rFonts w:ascii="Arial" w:eastAsia="Microsoft YaHei"/>
                <w:color w:val="90989F"/>
                <w:sz w:val="28"/>
                <w:szCs w:val="28"/>
              </w:rPr>
              <w:t xml:space="preserve">编制日期：2026 年【 】月</w:t>
            </w:r>
          </w:p>
          <w:p>
            <w:pPr>
              <w:spacing w:before="2000"/>
            </w:pPr>
          </w:p>
          <w:p>
            <w:pPr>
              <w:pBdr>
                <w:top w:val="single" w:color="D4875A" w:sz="2" w:space="8"/>
              </w:pBdr>
              <w:spacing w:before="200"/>
              <w:ind w:left="1200"/>
            </w:pPr>
            <w:r>
              <w:rPr>
                <w:rFonts w:ascii="Arial" w:eastAsia="Microsoft YaHei"/>
                <w:color w:val="909090"/>
                <w:sz w:val="22"/>
                <w:szCs w:val="22"/>
              </w:rPr>
              <w:t xml:space="preserve">项目计划书</w:t>
            </w:r>
          </w:p>
        </w:tc>
      </w:tr>
    </w:tbl>
    <w:p>
      <w:pPr>
        <w:sectPr>
          <w:pgSz w:w="11906" w:h="16838" w:orient="portrait"/>
          <w:pgMar w:top="0" w:right="0" w:bottom="0" w:left="0" w:header="708" w:footer="708" w:gutter="0"/>
          <w:pgNumType/>
          <w:docGrid w:linePitch="360"/>
        </w:sectPr>
      </w:pPr>
    </w:p>
    <w:p>
      <w:pPr>
        <w:pStyle w:val="Heading1"/>
        <w:keepNext/>
        <w:spacing w:after="200" w:before="360" w:line="368" w:lineRule="atLeast"/>
        <w:jc w:val="center"/>
      </w:pPr>
      <w:r>
        <w:rPr>
          <w:rFonts w:ascii="Times New Roman" w:eastAsia="SimHei"/>
          <w:b/>
          <w:bCs/>
          <w:color w:val="1A2330"/>
          <w:sz w:val="32"/>
          <w:szCs w:val="32"/>
        </w:rPr>
        <w:t xml:space="preserve">一、项目概述</w:t>
      </w:r>
    </w:p>
    <w:p>
      <w:pPr>
        <w:pStyle w:val="Heading2"/>
        <w:keepNext/>
        <w:spacing w:after="120" w:before="240" w:line="345" w:lineRule="atLeast"/>
      </w:pPr>
      <w:r>
        <w:rPr>
          <w:rFonts w:ascii="Times New Roman" w:eastAsia="SimHei"/>
          <w:b/>
          <w:bCs/>
          <w:color w:val="1A2330"/>
          <w:sz w:val="30"/>
          <w:szCs w:val="30"/>
        </w:rPr>
        <w:t xml:space="preserve">（一）产品描述</w:t>
      </w:r>
    </w:p>
    <w:p>
      <w:pPr>
        <w:spacing w:after="60" w:line="312"/>
        <w:ind w:firstLine="480"/>
        <w:jc w:val="both"/>
      </w:pPr>
      <w:r>
        <w:rPr>
          <w:rFonts w:ascii="Times New Roman" w:eastAsia="SimSun"/>
          <w:color w:val="000000"/>
          <w:sz w:val="24"/>
          <w:szCs w:val="24"/>
        </w:rPr>
        <w:t xml:space="preserve">学海星槎是一款游戏化智能学习应用，采用 Android 原生技术栈开发（Kotlin + Jetpack Compose），当前版本 v1.6.6。产品的核心思路是把知识练习与复习做成一款可以长期游玩的闯关游戏：核心玩法「速算英雄」以回合制答题 RPG 承载知识练习，答对即出招、答错则受伤，连续答对可累积连击伤害，每个科目设 8 个关卡，第 8 关为 BOSS 战；在此之外还有华容道、五子棋、贪吃蛇三款益智游戏，分别承接空间推理、攻防判断与反应速度训练。平台配备每日挑战、连续签到、商店、成就等成长线，其中错题本依据艾宾浩斯遗忘曲线设置了 1 / 2 / 4 / 7 / 15 天的复习队列，答错题目会自动收录并在到期时提醒复习。联机方面提供快速匹配、好友房号、手机热点局域网三种对战方式，双方同答 10 道题，答对多且用时短者获胜，并计入 ELO 积分与分科目排行榜。</w:t>
      </w:r>
    </w:p>
    <w:p>
      <w:pPr>
        <w:pStyle w:val="Heading2"/>
        <w:keepNext/>
        <w:spacing w:after="120" w:before="240" w:line="345" w:lineRule="atLeast"/>
      </w:pPr>
      <w:r>
        <w:rPr>
          <w:rFonts w:ascii="Times New Roman" w:eastAsia="SimHei"/>
          <w:b/>
          <w:bCs/>
          <w:color w:val="1A2330"/>
          <w:sz w:val="30"/>
          <w:szCs w:val="30"/>
        </w:rPr>
        <w:t xml:space="preserve">（二）用户群体</w:t>
      </w:r>
    </w:p>
    <w:p>
      <w:pPr>
        <w:spacing w:after="60" w:line="312"/>
        <w:ind w:firstLine="480"/>
        <w:jc w:val="both"/>
      </w:pPr>
      <w:r>
        <w:rPr>
          <w:rFonts w:ascii="Times New Roman" w:eastAsia="SimSun"/>
          <w:color w:val="000000"/>
          <w:sz w:val="24"/>
          <w:szCs w:val="24"/>
        </w:rPr>
        <w:t xml:space="preserve">产品的目标用户分为三类。第一类是以小学高年级至高中为主的青少年学生，通过数学口算、逻辑推理、英语单词、科学百科等基础科目与益智小游戏培养计算能力和逻辑思维。第二类是以在校大学生、考研备考生为主的进阶学习者，产品内置「大学考研模式」，开启后每日挑战只抽取高等数学、线性代数、概率论、高频电子线路、通信原理等科目的真题与高难度题。第三类是关注孩子学习投入度的家长，他们看重的是错题本、每日挑战与连续签到带来的可追踪、可持续的学习节奏。</w:t>
      </w:r>
    </w:p>
    <w:p>
      <w:pPr>
        <w:pStyle w:val="Heading2"/>
        <w:keepNext/>
        <w:spacing w:after="120" w:before="240" w:line="345" w:lineRule="atLeast"/>
      </w:pPr>
      <w:r>
        <w:rPr>
          <w:rFonts w:ascii="Times New Roman" w:eastAsia="SimHei"/>
          <w:b/>
          <w:bCs/>
          <w:color w:val="1A2330"/>
          <w:sz w:val="30"/>
          <w:szCs w:val="30"/>
        </w:rPr>
        <w:t xml:space="preserve">（三）项目愿景</w:t>
      </w:r>
    </w:p>
    <w:p>
      <w:pPr>
        <w:spacing w:after="60" w:line="312"/>
        <w:ind w:firstLine="480"/>
        <w:jc w:val="both"/>
      </w:pPr>
      <w:r>
        <w:rPr>
          <w:rFonts w:ascii="Times New Roman" w:eastAsia="SimSun"/>
          <w:color w:val="000000"/>
          <w:sz w:val="24"/>
          <w:szCs w:val="24"/>
        </w:rPr>
        <w:t xml:space="preserve">项目愿景是让「坚持练习」不再依赖意志力。学海星槎希望把知识练习与复习变成一件学生愿意主动打开的事：用游戏化机制降低启动门槛，用错题本与遗忘曲线保证复习效率，用联机对战与排行榜提供长期动力，最终成为一款能够陪伴学生数年、并且可以自主生长的学习产品。</w:t>
      </w:r>
    </w:p>
    <w:p>
      <w:pPr>
        <w:pStyle w:val="Heading1"/>
        <w:keepNext/>
        <w:spacing w:after="200" w:before="360" w:line="368" w:lineRule="atLeast"/>
        <w:jc w:val="center"/>
      </w:pPr>
      <w:r>
        <w:rPr>
          <w:rFonts w:ascii="Times New Roman" w:eastAsia="SimHei"/>
          <w:b/>
          <w:bCs/>
          <w:color w:val="1A2330"/>
          <w:sz w:val="32"/>
          <w:szCs w:val="32"/>
        </w:rPr>
        <w:t xml:space="preserve">二、产品形态与核心技术</w:t>
      </w:r>
    </w:p>
    <w:p>
      <w:pPr>
        <w:pStyle w:val="Heading2"/>
        <w:keepNext/>
        <w:spacing w:after="120" w:before="240" w:line="345" w:lineRule="atLeast"/>
      </w:pPr>
      <w:r>
        <w:rPr>
          <w:rFonts w:ascii="Times New Roman" w:eastAsia="SimHei"/>
          <w:b/>
          <w:bCs/>
          <w:color w:val="1A2330"/>
          <w:sz w:val="30"/>
          <w:szCs w:val="30"/>
        </w:rPr>
        <w:t xml:space="preserve">（一）玩法矩阵</w:t>
      </w:r>
    </w:p>
    <w:p>
      <w:pPr>
        <w:spacing w:after="60" w:line="312"/>
        <w:ind w:firstLine="480"/>
        <w:jc w:val="both"/>
      </w:pPr>
      <w:r>
        <w:rPr>
          <w:rFonts w:ascii="Times New Roman" w:eastAsia="SimSun"/>
          <w:color w:val="000000"/>
          <w:sz w:val="24"/>
          <w:szCs w:val="24"/>
        </w:rPr>
        <w:t xml:space="preserve">产品目前包含四类玩法与一套联机对战系统，全部共用同一条等级、经验与金币成长线，用户在任一玩法中的投入都会累积到同一个人物档案上。</w:t>
      </w:r>
    </w:p>
    <w:p>
      <w:pPr>
        <w:keepNext/>
        <w:spacing w:after="100" w:before="120" w:line="312"/>
        <w:jc w:val="center"/>
      </w:pPr>
      <w:r>
        <w:rPr>
          <w:rFonts w:ascii="Times New Roman" w:eastAsia="SimHei"/>
          <w:b/>
          <w:bCs/>
          <w:color w:val="1A2330"/>
          <w:sz w:val="21"/>
          <w:szCs w:val="21"/>
        </w:rPr>
        <w:t xml:space="preserve">表 1　玩法矩阵与训练目标</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2%"/>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玩法</w:t>
            </w:r>
          </w:p>
        </w:tc>
        <w:tc>
          <w:tcPr>
            <w:tcW w:type="pct" w:w="52%"/>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玩法说明</w:t>
            </w:r>
          </w:p>
        </w:tc>
        <w:tc>
          <w:tcPr>
            <w:tcW w:type="pct" w:w="26%"/>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训练目标</w:t>
            </w:r>
          </w:p>
        </w:tc>
      </w:tr>
      <w:tr>
        <w:trPr>
          <w:cantSplit/>
        </w:trPr>
        <w:tc>
          <w:tcPr>
            <w:tcW w:type="pct" w:w="22%"/>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速算英雄</w:t>
            </w:r>
          </w:p>
        </w:tc>
        <w:tc>
          <w:tcPr>
            <w:tcW w:type="pct" w:w="52%"/>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回合制答题 RPG：答对出招、答错受伤，连击加伤；每科 8 关，第 8 关为 BOSS 战；提供提示、跳过、复活三种道具</w:t>
            </w:r>
          </w:p>
        </w:tc>
        <w:tc>
          <w:tcPr>
            <w:tcW w:type="pct" w:w="2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10 个科目的持续练习</w:t>
            </w:r>
          </w:p>
        </w:tc>
      </w:tr>
      <w:tr>
        <w:trPr>
          <w:cantSplit/>
        </w:trPr>
        <w:tc>
          <w:tcPr>
            <w:tcW w:type="pct" w:w="22%"/>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华容道</w:t>
            </w:r>
          </w:p>
        </w:tc>
        <w:tc>
          <w:tcPr>
            <w:tcW w:type="pct" w:w="52%"/>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滑动棋子将曹操移到底部出口，含 6 个经典布局，记录最少步数</w:t>
            </w:r>
          </w:p>
        </w:tc>
        <w:tc>
          <w:tcPr>
            <w:tcW w:type="pct" w:w="2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空间推理与路径规划</w:t>
            </w:r>
          </w:p>
        </w:tc>
      </w:tr>
      <w:tr>
        <w:trPr>
          <w:cantSplit/>
        </w:trPr>
        <w:tc>
          <w:tcPr>
            <w:tcW w:type="pct" w:w="22%"/>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五子棋</w:t>
            </w:r>
          </w:p>
        </w:tc>
        <w:tc>
          <w:tcPr>
            <w:tcW w:type="pct" w:w="52%"/>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人机对战，简单 / 普通 / 困难三档 AI，困难档带两步预判，支持悔棋</w:t>
            </w:r>
          </w:p>
        </w:tc>
        <w:tc>
          <w:tcPr>
            <w:tcW w:type="pct" w:w="2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攻防判断与棋型计算</w:t>
            </w:r>
          </w:p>
        </w:tc>
      </w:tr>
      <w:tr>
        <w:trPr>
          <w:cantSplit/>
        </w:trPr>
        <w:tc>
          <w:tcPr>
            <w:tcW w:type="pct" w:w="22%"/>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贪吃蛇</w:t>
            </w:r>
          </w:p>
        </w:tc>
        <w:tc>
          <w:tcPr>
            <w:tcW w:type="pct" w:w="52%"/>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滑动转向，吃豆变长，移动速度随得分缓慢递增</w:t>
            </w:r>
          </w:p>
        </w:tc>
        <w:tc>
          <w:tcPr>
            <w:tcW w:type="pct" w:w="2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反应速度与路线预判</w:t>
            </w:r>
          </w:p>
        </w:tc>
      </w:tr>
      <w:tr>
        <w:trPr>
          <w:cantSplit/>
        </w:trPr>
        <w:tc>
          <w:tcPr>
            <w:tcW w:type="pct" w:w="22%"/>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每日挑战</w:t>
            </w:r>
          </w:p>
        </w:tc>
        <w:tc>
          <w:tcPr>
            <w:tcW w:type="pct" w:w="52%"/>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每天 10 道混合题，与连续签到、连续挑战天数联动</w:t>
            </w:r>
          </w:p>
        </w:tc>
        <w:tc>
          <w:tcPr>
            <w:tcW w:type="pct" w:w="2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学习习惯养成</w:t>
            </w:r>
          </w:p>
        </w:tc>
      </w:tr>
      <w:tr>
        <w:trPr>
          <w:cantSplit/>
        </w:trPr>
        <w:tc>
          <w:tcPr>
            <w:tcW w:type="pct" w:w="22%"/>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联机对战</w:t>
            </w:r>
          </w:p>
        </w:tc>
        <w:tc>
          <w:tcPr>
            <w:tcW w:type="pct" w:w="52%"/>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快速匹配 / 好友房号 / 手机热点局域网三种方式，双方同答 10 题，答对多且快者胜，计入 ELO 积分</w:t>
            </w:r>
          </w:p>
        </w:tc>
        <w:tc>
          <w:tcPr>
            <w:tcW w:type="pct" w:w="2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竞技动力与长期留存</w:t>
            </w:r>
          </w:p>
        </w:tc>
      </w:tr>
    </w:tbl>
    <w:p>
      <w:pPr>
        <w:pStyle w:val="Heading2"/>
        <w:keepNext/>
        <w:spacing w:after="120" w:before="240" w:line="345" w:lineRule="atLeast"/>
      </w:pPr>
      <w:r>
        <w:rPr>
          <w:rFonts w:ascii="Times New Roman" w:eastAsia="SimHei"/>
          <w:b/>
          <w:bCs/>
          <w:color w:val="1A2330"/>
          <w:sz w:val="30"/>
          <w:szCs w:val="30"/>
        </w:rPr>
        <w:t xml:space="preserve">（二）题库与内容体系</w:t>
      </w:r>
    </w:p>
    <w:p>
      <w:pPr>
        <w:spacing w:after="60" w:line="312"/>
        <w:ind w:firstLine="480"/>
        <w:jc w:val="both"/>
      </w:pPr>
      <w:r>
        <w:rPr>
          <w:rFonts w:ascii="Times New Roman" w:eastAsia="SimSun"/>
          <w:color w:val="000000"/>
          <w:sz w:val="24"/>
          <w:szCs w:val="24"/>
        </w:rPr>
        <w:t xml:space="preserve">平台题库覆盖 10 个科目：数学口算、逻辑推理、英语单词、科学百科、编程基础、高等数学、线性代数、概率论、高频电子线路、通信原理。其中 8 个科目以题库文件内置，共 420 道精选题；数学口算与逻辑推理由程序化生成器实时出题，题量不受固定上限约束。所有题目均附带答案解析，并对选项顺序做随机打乱处理，以降低背答案的可能。题库内容不打包进应用安装包，而是以独立内容包的形式通过热更新下发，当前已发布 11 个内容包，新增题目无需用户重新安装应用。</w:t>
      </w:r>
    </w:p>
    <w:p>
      <w:pPr>
        <w:pStyle w:val="Heading2"/>
        <w:keepNext/>
        <w:spacing w:after="120" w:before="240" w:line="345" w:lineRule="atLeast"/>
      </w:pPr>
      <w:r>
        <w:rPr>
          <w:rFonts w:ascii="Times New Roman" w:eastAsia="SimHei"/>
          <w:b/>
          <w:bCs/>
          <w:color w:val="1A2330"/>
          <w:sz w:val="30"/>
          <w:szCs w:val="30"/>
        </w:rPr>
        <w:t xml:space="preserve">（三）自研三级更新体系</w:t>
      </w:r>
    </w:p>
    <w:p>
      <w:pPr>
        <w:spacing w:after="60" w:line="312"/>
        <w:ind w:firstLine="480"/>
        <w:jc w:val="both"/>
      </w:pPr>
      <w:r>
        <w:rPr>
          <w:rFonts w:ascii="Times New Roman" w:eastAsia="SimSun"/>
          <w:color w:val="000000"/>
          <w:sz w:val="24"/>
          <w:szCs w:val="24"/>
        </w:rPr>
        <w:t xml:space="preserve">学习类产品的核心资产是内容，内容更新速度直接决定用户体验，因此本项目自建了一套三级更新体系。第一级是内容热更新：题库以 JSON 内容包形式下发，客户端校验文件摘要后解压生效，界面中的题目数量即时变化。第二级是安装包增量更新：项目自研了 BQDELTA1 差分格式，服务端用滚动哈希做块匹配，生成增量补丁，客户端在本地用已安装的安装包合成新版本，再做摘要与签名双重校验后调用系统安装器；发布前服务端会自行合成一次并与新版安装包比对，杜绝坏补丁上线。目前补丁链已覆盖自 v1.1.1 起的历史版本共 23 条记录，旧版本用户同样可以走增量更新。第三级是全量更新，用于没有匹配补丁时的兜底。此外，检查更新与全部下载环节支持多源自动回退，网络受限环境下可依次尝试不同下载源。</w:t>
      </w:r>
    </w:p>
    <w:p>
      <w:pPr>
        <w:pStyle w:val="Heading1"/>
        <w:keepNext/>
        <w:spacing w:after="200" w:before="360" w:line="368" w:lineRule="atLeast"/>
        <w:jc w:val="center"/>
      </w:pPr>
      <w:r>
        <w:rPr>
          <w:rFonts w:ascii="Times New Roman" w:eastAsia="SimHei"/>
          <w:b/>
          <w:bCs/>
          <w:color w:val="1A2330"/>
          <w:sz w:val="32"/>
          <w:szCs w:val="32"/>
        </w:rPr>
        <w:t xml:space="preserve">三、市场与竞争分析</w:t>
      </w:r>
    </w:p>
    <w:p>
      <w:pPr>
        <w:pStyle w:val="Heading2"/>
        <w:keepNext/>
        <w:spacing w:after="120" w:before="240" w:line="345" w:lineRule="atLeast"/>
      </w:pPr>
      <w:r>
        <w:rPr>
          <w:rFonts w:ascii="Times New Roman" w:eastAsia="SimHei"/>
          <w:b/>
          <w:bCs/>
          <w:color w:val="1A2330"/>
          <w:sz w:val="30"/>
          <w:szCs w:val="30"/>
        </w:rPr>
        <w:t xml:space="preserve">（一）用户需求</w:t>
      </w:r>
    </w:p>
    <w:p>
      <w:pPr>
        <w:spacing w:after="60" w:line="312"/>
        <w:ind w:firstLine="480"/>
        <w:jc w:val="both"/>
      </w:pPr>
      <w:r>
        <w:rPr>
          <w:rFonts w:ascii="Times New Roman" w:eastAsia="SimSun"/>
          <w:color w:val="000000"/>
          <w:sz w:val="24"/>
          <w:szCs w:val="24"/>
        </w:rPr>
        <w:t xml:space="preserve">学习类工具的需求集中在「找到答案」与「坚持练习」两端。前者已被搜题类产品充分满足，而后者长期缺少有效解法：学生缺乏持续练习的动机，复习缺少科学的调度，家长难以观察到学习行为的连续性。学海星槎选择从「坚持练习」这一端切入，不与搜题类产品正面竞争。</w:t>
      </w:r>
    </w:p>
    <w:p>
      <w:pPr>
        <w:pStyle w:val="Heading2"/>
        <w:keepNext/>
        <w:spacing w:after="120" w:before="240" w:line="345" w:lineRule="atLeast"/>
      </w:pPr>
      <w:r>
        <w:rPr>
          <w:rFonts w:ascii="Times New Roman" w:eastAsia="SimHei"/>
          <w:b/>
          <w:bCs/>
          <w:color w:val="1A2330"/>
          <w:sz w:val="30"/>
          <w:szCs w:val="30"/>
        </w:rPr>
        <w:t xml:space="preserve">（二）竞争格局</w:t>
      </w:r>
    </w:p>
    <w:p>
      <w:pPr>
        <w:keepNext/>
        <w:spacing w:after="100" w:before="120" w:line="312"/>
        <w:jc w:val="center"/>
      </w:pPr>
      <w:r>
        <w:rPr>
          <w:rFonts w:ascii="Times New Roman" w:eastAsia="SimHei"/>
          <w:b/>
          <w:bCs/>
          <w:color w:val="1A2330"/>
          <w:sz w:val="21"/>
          <w:szCs w:val="21"/>
        </w:rPr>
        <w:t xml:space="preserve">表 2　同类产品对比</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0%"/>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产品类别</w:t>
            </w:r>
          </w:p>
        </w:tc>
        <w:tc>
          <w:tcPr>
            <w:tcW w:type="pct" w:w="34%"/>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主要形态</w:t>
            </w:r>
          </w:p>
        </w:tc>
        <w:tc>
          <w:tcPr>
            <w:tcW w:type="pct" w:w="46%"/>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与本项目的差异</w:t>
            </w:r>
          </w:p>
        </w:tc>
      </w:tr>
      <w:tr>
        <w:trPr>
          <w:cantSplit/>
        </w:trPr>
        <w:tc>
          <w:tcPr>
            <w:tcW w:type="pct" w:w="20%"/>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搜题与作业批改类</w:t>
            </w:r>
          </w:p>
        </w:tc>
        <w:tc>
          <w:tcPr>
            <w:tcW w:type="pct" w:w="34%"/>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拍照搜题、口算批改</w:t>
            </w:r>
          </w:p>
        </w:tc>
        <w:tc>
          <w:tcPr>
            <w:tcW w:type="pct" w:w="4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解决的是「找答案」，本项目解决「练与复习」，且明确不做拍照搜题，避免工具被用成抄答案的捷径</w:t>
            </w:r>
          </w:p>
        </w:tc>
      </w:tr>
      <w:tr>
        <w:trPr>
          <w:cantSplit/>
        </w:trPr>
        <w:tc>
          <w:tcPr>
            <w:tcW w:type="pct" w:w="20%"/>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低龄启蒙类</w:t>
            </w:r>
          </w:p>
        </w:tc>
        <w:tc>
          <w:tcPr>
            <w:tcW w:type="pct" w:w="34%"/>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识字、拼音、思维启蒙</w:t>
            </w:r>
          </w:p>
        </w:tc>
        <w:tc>
          <w:tcPr>
            <w:tcW w:type="pct" w:w="4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覆盖学段止于小学阶段；本项目从小学口算贯通至大学考研课程，同一条成长线可长期延续</w:t>
            </w:r>
          </w:p>
        </w:tc>
      </w:tr>
      <w:tr>
        <w:trPr>
          <w:cantSplit/>
        </w:trPr>
        <w:tc>
          <w:tcPr>
            <w:tcW w:type="pct" w:w="20%"/>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游戏化学习类</w:t>
            </w:r>
          </w:p>
        </w:tc>
        <w:tc>
          <w:tcPr>
            <w:tcW w:type="pct" w:w="34%"/>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以闯关、连胜机制做单一学科训练</w:t>
            </w:r>
          </w:p>
        </w:tc>
        <w:tc>
          <w:tcPr>
            <w:tcW w:type="pct" w:w="4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多为单一学科；本项目覆盖 10 个科目，并在答题之外提供三类纯益智玩法与公网联机对战</w:t>
            </w:r>
          </w:p>
        </w:tc>
      </w:tr>
      <w:tr>
        <w:trPr>
          <w:cantSplit/>
        </w:trPr>
        <w:tc>
          <w:tcPr>
            <w:tcW w:type="pct" w:w="20%"/>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传统题库与模考类</w:t>
            </w:r>
          </w:p>
        </w:tc>
        <w:tc>
          <w:tcPr>
            <w:tcW w:type="pct" w:w="34%"/>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题海练习、模拟考试</w:t>
            </w:r>
          </w:p>
        </w:tc>
        <w:tc>
          <w:tcPr>
            <w:tcW w:type="pct" w:w="4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缺少游戏化激励与复习调度；本项目内置遗忘曲线复习队列与跨玩法的成长线</w:t>
            </w:r>
          </w:p>
        </w:tc>
      </w:tr>
    </w:tbl>
    <w:p>
      <w:pPr>
        <w:pStyle w:val="Heading1"/>
        <w:keepNext/>
        <w:spacing w:after="200" w:before="360" w:line="368" w:lineRule="atLeast"/>
        <w:jc w:val="center"/>
      </w:pPr>
      <w:r>
        <w:rPr>
          <w:rFonts w:ascii="Times New Roman" w:eastAsia="SimHei"/>
          <w:b/>
          <w:bCs/>
          <w:color w:val="1A2330"/>
          <w:sz w:val="32"/>
          <w:szCs w:val="32"/>
        </w:rPr>
        <w:t xml:space="preserve">四、项目进展与已有成果</w:t>
      </w:r>
    </w:p>
    <w:p>
      <w:pPr>
        <w:spacing w:after="60" w:line="312"/>
        <w:ind w:firstLine="480"/>
        <w:jc w:val="both"/>
      </w:pPr>
      <w:r>
        <w:rPr>
          <w:rFonts w:ascii="Times New Roman" w:eastAsia="SimSun"/>
          <w:color w:val="000000"/>
          <w:sz w:val="24"/>
          <w:szCs w:val="24"/>
        </w:rPr>
        <w:t xml:space="preserve">项目已完成从原型到可发布产品的完整闭环，当前发布版本为 v1.6.6（versionCode 31），累计迭代 24 个签名版本。客户端为 Kotlin 原生实现，共 42 个源文件、约 7600 行代码，配套的工具链与服务端脚本约 4700 行 Python。</w:t>
      </w:r>
    </w:p>
    <w:p>
      <w:pPr>
        <w:spacing w:after="60" w:line="312"/>
        <w:ind w:firstLine="480"/>
        <w:jc w:val="both"/>
      </w:pPr>
      <w:r>
        <w:rPr>
          <w:rFonts w:ascii="Times New Roman" w:eastAsia="SimSun"/>
          <w:color w:val="000000"/>
          <w:sz w:val="24"/>
          <w:szCs w:val="24"/>
        </w:rPr>
        <w:t xml:space="preserve">服务端方面，公网对战服务器已上线并与正式版本客户端对接，排行榜与云存档中已有真实玩家数据；发布流程已实现自动化，打版本标签后由持续集成完成构建、差分生成与发布。云存档以昵称加取件码方式实现，不设账号体系，也不采集手机号等身份信息。</w:t>
      </w:r>
    </w:p>
    <w:p>
      <w:pPr>
        <w:spacing w:after="60" w:line="312"/>
        <w:ind w:firstLine="480"/>
        <w:jc w:val="both"/>
      </w:pPr>
      <w:r>
        <w:rPr>
          <w:rFonts w:ascii="Times New Roman" w:eastAsia="SimSun"/>
          <w:color w:val="000000"/>
          <w:sz w:val="24"/>
          <w:szCs w:val="24"/>
        </w:rPr>
        <w:t xml:space="preserve">内容方面，除内置的 420 道精选题外，已发布 11 个热更新内容包，涵盖补充题与历年真题两个来源，通过热更新直接推送到已安装的应用中。</w:t>
      </w:r>
    </w:p>
    <w:p>
      <w:pPr>
        <w:pStyle w:val="Heading1"/>
        <w:keepNext/>
        <w:spacing w:after="200" w:before="360" w:line="368" w:lineRule="atLeast"/>
        <w:jc w:val="center"/>
      </w:pPr>
      <w:r>
        <w:rPr>
          <w:rFonts w:ascii="Times New Roman" w:eastAsia="SimHei"/>
          <w:b/>
          <w:bCs/>
          <w:color w:val="1A2330"/>
          <w:sz w:val="32"/>
          <w:szCs w:val="32"/>
        </w:rPr>
        <w:t xml:space="preserve">五、商业模式与发展规划</w:t>
      </w:r>
    </w:p>
    <w:p>
      <w:pPr>
        <w:pStyle w:val="Heading2"/>
        <w:keepNext/>
        <w:spacing w:after="120" w:before="240" w:line="345" w:lineRule="atLeast"/>
      </w:pPr>
      <w:r>
        <w:rPr>
          <w:rFonts w:ascii="Times New Roman" w:eastAsia="SimHei"/>
          <w:b/>
          <w:bCs/>
          <w:color w:val="1A2330"/>
          <w:sz w:val="30"/>
          <w:szCs w:val="30"/>
        </w:rPr>
        <w:t xml:space="preserve">（一）商业模式</w:t>
      </w:r>
    </w:p>
    <w:p>
      <w:pPr>
        <w:spacing w:after="60" w:line="312"/>
        <w:ind w:firstLine="480"/>
        <w:jc w:val="both"/>
      </w:pPr>
      <w:r>
        <w:rPr>
          <w:rFonts w:ascii="Times New Roman" w:eastAsia="SimSun"/>
          <w:color w:val="000000"/>
          <w:sz w:val="24"/>
          <w:szCs w:val="24"/>
        </w:rPr>
        <w:t xml:space="preserve">产品对核心学习功能完全免费，收入来自三部分：一是道具、主题与头像等外观与便利性内购，不影响学习公平性；二是联机对战与排行榜相关的增值服务；三是面向学校与培训机构的题库授权与内容定制。定价方案与收入测算：【待补充：请填写定价与测算依据】。</w:t>
      </w:r>
    </w:p>
    <w:p>
      <w:pPr>
        <w:pStyle w:val="Heading2"/>
        <w:keepNext/>
        <w:spacing w:after="120" w:before="240" w:line="345" w:lineRule="atLeast"/>
      </w:pPr>
      <w:r>
        <w:rPr>
          <w:rFonts w:ascii="Times New Roman" w:eastAsia="SimHei"/>
          <w:b/>
          <w:bCs/>
          <w:color w:val="1A2330"/>
          <w:sz w:val="30"/>
          <w:szCs w:val="30"/>
        </w:rPr>
        <w:t xml:space="preserve">（二）发展规划</w:t>
      </w:r>
    </w:p>
    <w:p>
      <w:pPr>
        <w:spacing w:after="60" w:line="312"/>
        <w:ind w:firstLine="480"/>
        <w:jc w:val="both"/>
      </w:pPr>
      <w:r>
        <w:rPr>
          <w:rFonts w:ascii="Times New Roman" w:eastAsia="SimSun"/>
          <w:color w:val="000000"/>
          <w:sz w:val="24"/>
          <w:szCs w:val="24"/>
        </w:rPr>
        <w:t xml:space="preserve">近期以内容与留存为核心目标：持续扩充考研与基础学科题库，增加家长可查看的学习周报，并启动 iOS 与网页端以覆盖更多设备。中期目标是把内容生产流程标准化，通过内容包机制引入外部作者，形成一个可持续扩充的题库生态；同时推进与学校的合作，将错题本与复习调度的能力以接口形式提供给校园教学场景。</w:t>
      </w:r>
    </w:p>
    <w:p>
      <w:pPr>
        <w:pStyle w:val="Heading1"/>
        <w:keepNext/>
        <w:spacing w:after="200" w:before="360" w:line="368" w:lineRule="atLeast"/>
        <w:jc w:val="center"/>
      </w:pPr>
      <w:r>
        <w:rPr>
          <w:rFonts w:ascii="Times New Roman" w:eastAsia="SimHei"/>
          <w:b/>
          <w:bCs/>
          <w:color w:val="1A2330"/>
          <w:sz w:val="32"/>
          <w:szCs w:val="32"/>
        </w:rPr>
        <w:t xml:space="preserve">六、团队与风险</w:t>
      </w:r>
    </w:p>
    <w:p>
      <w:pPr>
        <w:pStyle w:val="Heading2"/>
        <w:keepNext/>
        <w:spacing w:after="120" w:before="240" w:line="345" w:lineRule="atLeast"/>
      </w:pPr>
      <w:r>
        <w:rPr>
          <w:rFonts w:ascii="Times New Roman" w:eastAsia="SimHei"/>
          <w:b/>
          <w:bCs/>
          <w:color w:val="1A2330"/>
          <w:sz w:val="30"/>
          <w:szCs w:val="30"/>
        </w:rPr>
        <w:t xml:space="preserve">（一）团队分工</w:t>
      </w:r>
    </w:p>
    <w:p>
      <w:pPr>
        <w:keepNext/>
        <w:spacing w:after="100" w:before="120" w:line="312"/>
        <w:jc w:val="center"/>
      </w:pPr>
      <w:r>
        <w:rPr>
          <w:rFonts w:ascii="Times New Roman" w:eastAsia="SimHei"/>
          <w:b/>
          <w:bCs/>
          <w:color w:val="1A2330"/>
          <w:sz w:val="21"/>
          <w:szCs w:val="21"/>
        </w:rPr>
        <w:t xml:space="preserve">表 3　团队分工</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6%"/>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角色</w:t>
            </w:r>
          </w:p>
        </w:tc>
        <w:tc>
          <w:tcPr>
            <w:tcW w:type="pct" w:w="44%"/>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主要职责</w:t>
            </w:r>
          </w:p>
        </w:tc>
        <w:tc>
          <w:tcPr>
            <w:tcW w:type="pct" w:w="30%"/>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成员</w:t>
            </w:r>
          </w:p>
        </w:tc>
      </w:tr>
      <w:tr>
        <w:trPr>
          <w:cantSplit/>
        </w:trPr>
        <w:tc>
          <w:tcPr>
            <w:tcW w:type="pct" w:w="2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项目负责人</w:t>
            </w:r>
          </w:p>
        </w:tc>
        <w:tc>
          <w:tcPr>
            <w:tcW w:type="pct" w:w="44%"/>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产品规划、需求定义与项目统筹</w:t>
            </w:r>
          </w:p>
        </w:tc>
        <w:tc>
          <w:tcPr>
            <w:tcW w:type="pct" w:w="30%"/>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【姓名】</w:t>
            </w:r>
          </w:p>
        </w:tc>
      </w:tr>
      <w:tr>
        <w:trPr>
          <w:cantSplit/>
        </w:trPr>
        <w:tc>
          <w:tcPr>
            <w:tcW w:type="pct" w:w="2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客户端开发</w:t>
            </w:r>
          </w:p>
        </w:tc>
        <w:tc>
          <w:tcPr>
            <w:tcW w:type="pct" w:w="44%"/>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Android 客户端、游戏逻辑与更新体系</w:t>
            </w:r>
          </w:p>
        </w:tc>
        <w:tc>
          <w:tcPr>
            <w:tcW w:type="pct" w:w="30%"/>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【姓名】</w:t>
            </w:r>
          </w:p>
        </w:tc>
      </w:tr>
      <w:tr>
        <w:trPr>
          <w:cantSplit/>
        </w:trPr>
        <w:tc>
          <w:tcPr>
            <w:tcW w:type="pct" w:w="2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内容与题库</w:t>
            </w:r>
          </w:p>
        </w:tc>
        <w:tc>
          <w:tcPr>
            <w:tcW w:type="pct" w:w="44%"/>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题库编写、审校与内容包维护</w:t>
            </w:r>
          </w:p>
        </w:tc>
        <w:tc>
          <w:tcPr>
            <w:tcW w:type="pct" w:w="30%"/>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【姓名】</w:t>
            </w:r>
          </w:p>
        </w:tc>
      </w:tr>
      <w:tr>
        <w:trPr>
          <w:cantSplit/>
        </w:trPr>
        <w:tc>
          <w:tcPr>
            <w:tcW w:type="pct" w:w="2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设计与运营</w:t>
            </w:r>
          </w:p>
        </w:tc>
        <w:tc>
          <w:tcPr>
            <w:tcW w:type="pct" w:w="44%"/>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界面视觉、音效与用户运营</w:t>
            </w:r>
          </w:p>
        </w:tc>
        <w:tc>
          <w:tcPr>
            <w:tcW w:type="pct" w:w="30%"/>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【姓名】</w:t>
            </w:r>
          </w:p>
        </w:tc>
      </w:tr>
    </w:tbl>
    <w:p>
      <w:pPr>
        <w:pStyle w:val="Heading2"/>
        <w:keepNext/>
        <w:spacing w:after="120" w:before="240" w:line="345" w:lineRule="atLeast"/>
      </w:pPr>
      <w:r>
        <w:rPr>
          <w:rFonts w:ascii="Times New Roman" w:eastAsia="SimHei"/>
          <w:b/>
          <w:bCs/>
          <w:color w:val="1A2330"/>
          <w:sz w:val="30"/>
          <w:szCs w:val="30"/>
        </w:rPr>
        <w:t xml:space="preserve">（二）主要风险与对策</w:t>
      </w:r>
    </w:p>
    <w:p>
      <w:pPr>
        <w:keepNext/>
        <w:spacing w:after="100" w:before="120" w:line="312"/>
        <w:jc w:val="center"/>
      </w:pPr>
      <w:r>
        <w:rPr>
          <w:rFonts w:ascii="Times New Roman" w:eastAsia="SimHei"/>
          <w:b/>
          <w:bCs/>
          <w:color w:val="1A2330"/>
          <w:sz w:val="21"/>
          <w:szCs w:val="21"/>
        </w:rPr>
        <w:t xml:space="preserve">表 4　风险与对策</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Layout w:type="fixed"/>
      </w:tblPr>
      <w:tblGrid>
        <w:gridCol w:w="100"/>
        <w:gridCol w:w="100"/>
        <w:gridCol w:w="100"/>
      </w:tblGrid>
      <w:tr>
        <w:trPr>
          <w:cantSplit/>
          <w:tblHeader/>
        </w:trPr>
        <w:tc>
          <w:tcPr>
            <w:tcW w:type="pct" w:w="20%"/>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风险</w:t>
            </w:r>
          </w:p>
        </w:tc>
        <w:tc>
          <w:tcPr>
            <w:tcW w:type="pct" w:w="34%"/>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说明</w:t>
            </w:r>
          </w:p>
        </w:tc>
        <w:tc>
          <w:tcPr>
            <w:tcW w:type="pct" w:w="46%"/>
            <w:shd w:fill="D4875A" w:val="clear"/>
            <w:tcMar>
              <w:top w:type="dxa" w:w="60"/>
              <w:left w:type="dxa" w:w="120"/>
              <w:bottom w:type="dxa" w:w="60"/>
              <w:right w:type="dxa" w:w="120"/>
            </w:tcMar>
          </w:tcPr>
          <w:p>
            <w:pPr>
              <w:spacing w:line="312" w:lineRule="atLeast"/>
            </w:pPr>
            <w:r>
              <w:rPr>
                <w:rFonts w:ascii="Times New Roman" w:eastAsia="SimSun"/>
                <w:b/>
                <w:bCs/>
                <w:color w:val="FFFFFF"/>
                <w:sz w:val="21"/>
                <w:szCs w:val="21"/>
              </w:rPr>
              <w:t xml:space="preserve">对策</w:t>
            </w:r>
          </w:p>
        </w:tc>
      </w:tr>
      <w:tr>
        <w:trPr>
          <w:cantSplit/>
        </w:trPr>
        <w:tc>
          <w:tcPr>
            <w:tcW w:type="pct" w:w="20%"/>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内容版权</w:t>
            </w:r>
          </w:p>
        </w:tc>
        <w:tc>
          <w:tcPr>
            <w:tcW w:type="pct" w:w="34%"/>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题库与真题的著作权归属需明确</w:t>
            </w:r>
          </w:p>
        </w:tc>
        <w:tc>
          <w:tcPr>
            <w:tcW w:type="pct" w:w="4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优先采用自编题目；引用公开真题时注明来源并取得授权，建立题目来源台账</w:t>
            </w:r>
          </w:p>
        </w:tc>
      </w:tr>
      <w:tr>
        <w:trPr>
          <w:cantSplit/>
        </w:trPr>
        <w:tc>
          <w:tcPr>
            <w:tcW w:type="pct" w:w="20%"/>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用户留存</w:t>
            </w:r>
          </w:p>
        </w:tc>
        <w:tc>
          <w:tcPr>
            <w:tcW w:type="pct" w:w="34%"/>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学习类产品普遍存在「三分钟热度」</w:t>
            </w:r>
          </w:p>
        </w:tc>
        <w:tc>
          <w:tcPr>
            <w:tcW w:type="pct" w:w="4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以每日挑战、连续签到与 ELO 排行榜构建长期目标，用遗忘曲线保证复习的有效性</w:t>
            </w:r>
          </w:p>
        </w:tc>
      </w:tr>
      <w:tr>
        <w:trPr>
          <w:cantSplit/>
        </w:trPr>
        <w:tc>
          <w:tcPr>
            <w:tcW w:type="pct" w:w="20%"/>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变现能力</w:t>
            </w:r>
          </w:p>
        </w:tc>
        <w:tc>
          <w:tcPr>
            <w:tcW w:type="pct" w:w="34%"/>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学生群体付费意愿有限</w:t>
            </w:r>
          </w:p>
        </w:tc>
        <w:tc>
          <w:tcPr>
            <w:tcW w:type="pct" w:w="46%"/>
            <w:shd w:fill="FFFFFF"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以低价的便利性与外观内购为主，不影响核心学习功能，并探索校园端的授权模式</w:t>
            </w:r>
          </w:p>
        </w:tc>
      </w:tr>
      <w:tr>
        <w:trPr>
          <w:cantSplit/>
        </w:trPr>
        <w:tc>
          <w:tcPr>
            <w:tcW w:type="pct" w:w="20%"/>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数据合规</w:t>
            </w:r>
          </w:p>
        </w:tc>
        <w:tc>
          <w:tcPr>
            <w:tcW w:type="pct" w:w="34%"/>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未成年人使用与个人信息保护</w:t>
            </w:r>
          </w:p>
        </w:tc>
        <w:tc>
          <w:tcPr>
            <w:tcW w:type="pct" w:w="46%"/>
            <w:shd w:fill="F8F0EB" w:val="clear"/>
            <w:tcMar>
              <w:top w:type="dxa" w:w="60"/>
              <w:left w:type="dxa" w:w="120"/>
              <w:bottom w:type="dxa" w:w="60"/>
              <w:right w:type="dxa" w:w="120"/>
            </w:tcMar>
          </w:tcPr>
          <w:p>
            <w:pPr>
              <w:spacing w:line="312" w:lineRule="atLeast"/>
            </w:pPr>
            <w:r>
              <w:rPr>
                <w:rFonts w:ascii="Times New Roman" w:eastAsia="SimSun"/>
                <w:b w:val="false"/>
                <w:bCs w:val="false"/>
                <w:color w:val="000000"/>
                <w:sz w:val="21"/>
                <w:szCs w:val="21"/>
              </w:rPr>
              <w:t xml:space="preserve">不设账号体系，存档默认仅保存在本机；云存档仅以昵称与取件码实现，不采集身份信息</w:t>
            </w:r>
          </w:p>
        </w:tc>
      </w:tr>
    </w:tbl>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A2330"/>
      <w:sz w:val="32"/>
      <w:szCs w:val="32"/>
    </w:rPr>
  </w:style>
  <w:style w:type="paragraph" w:styleId="Heading2">
    <w:name w:val="Heading 2"/>
    <w:basedOn w:val="Normal"/>
    <w:next w:val="Normal"/>
    <w:qFormat/>
    <w:rPr>
      <w:rFonts w:ascii="Times New Roman" w:eastAsia="SimHei"/>
      <w:b/>
      <w:bCs/>
      <w:color w:val="1A2330"/>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学海星槎 项目计划书</dc:title>
  <dc:creator>学海星槎项目组</dc:creator>
  <dc:description>国创赛主赛道项目计划书</dc:description>
  <cp:lastModifiedBy>Un-named</cp:lastModifiedBy>
  <cp:revision>1</cp:revision>
  <dcterms:created xsi:type="dcterms:W3CDTF">2026-09-21T11:05:48.469Z</dcterms:created>
  <dcterms:modified xsi:type="dcterms:W3CDTF">2026-09-21T11:05:48.471Z</dcterms:modified>
</cp:coreProperties>
</file>

<file path=docProps/custom.xml><?xml version="1.0" encoding="utf-8"?>
<Properties xmlns="http://schemas.openxmlformats.org/officeDocument/2006/custom-properties" xmlns:vt="http://schemas.openxmlformats.org/officeDocument/2006/docPropsVTypes"/>
</file>