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complete, highly detailed master draft for </w:t>
      </w:r>
      <w:r w:rsidDel="00000000" w:rsidR="00000000" w:rsidRPr="00000000">
        <w:rPr>
          <w:rFonts w:ascii="Google Sans" w:cs="Google Sans" w:eastAsia="Google Sans" w:hAnsi="Google Sans"/>
          <w:b w:val="1"/>
          <w:bCs w:val="1"/>
          <w:color w:val="1f1f1f"/>
          <w:rtl w:val="0"/>
        </w:rPr>
        <w:t xml:space="preserve">Document 3</w:t>
      </w:r>
      <w:r w:rsidDel="00000000" w:rsidR="00000000" w:rsidRPr="00000000">
        <w:rPr>
          <w:rFonts w:ascii="Google Sans" w:cs="Google Sans" w:eastAsia="Google Sans" w:hAnsi="Google Sans"/>
          <w:color w:val="1f1f1f"/>
          <w:rtl w:val="0"/>
        </w:rPr>
        <w:t xml:space="preserve">. This document translates the massive architectural theories from Docs 1 and 2 into a concrete, executable plan. It details exactly what hardware to buy, what software to download, and how to sequence the build.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Save this alongside the first two documents.</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48"/>
          <w:szCs w:val="4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48"/>
          <w:szCs w:val="48"/>
          <w:rtl w:val="0"/>
        </w:rPr>
        <w:t xml:space="preserve">Document 3: The Roadmap, MVP, &amp; Dependency List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w:t>
      </w:r>
      <w:r w:rsidDel="00000000" w:rsidR="00000000" w:rsidRPr="00000000">
        <w:rPr>
          <w:rFonts w:ascii="Google Sans" w:cs="Google Sans" w:eastAsia="Google Sans" w:hAnsi="Google Sans"/>
          <w:color w:val="1f1f1f"/>
          <w:rtl w:val="0"/>
        </w:rPr>
        <w:t xml:space="preserve"> THOR / Synapse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Execution:</w:t>
      </w:r>
      <w:r w:rsidDel="00000000" w:rsidR="00000000" w:rsidRPr="00000000">
        <w:rPr>
          <w:rFonts w:ascii="Google Sans" w:cs="Google Sans" w:eastAsia="Google Sans" w:hAnsi="Google Sans"/>
          <w:color w:val="1f1f1f"/>
          <w:rtl w:val="0"/>
        </w:rPr>
        <w:t xml:space="preserve"> Prototype to Mainnet Strategy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1. The Dependency List (What You Need to Start)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the "Local Seed" (the Minimum Viable Product), you do not need the massive THOR supercomputer yet. You need to build a single "Home Neuron" and connect it to a mobile device.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A. Hardware Dependencies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SpiNNaker2 Development Board:</w:t>
      </w:r>
      <w:r w:rsidDel="00000000" w:rsidR="00000000" w:rsidRPr="00000000">
        <w:rPr>
          <w:rFonts w:ascii="Google Sans" w:cs="Google Sans" w:eastAsia="Google Sans" w:hAnsi="Google Sans"/>
          <w:color w:val="1f1f1f"/>
          <w:rtl w:val="0"/>
        </w:rPr>
        <w:t xml:space="preserve"> You will need to contact SpiNNcloud Systems (or the TU Dresden research group) to acquire a low-node-count SpiNNaker2 development board. The full 48-chip boards (like the one Sandia Labs recently deployed) are enterprise-grade, but they offer smaller kits for developers.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Raspberry Pi 5 (Tier II Host):</w:t>
      </w:r>
      <w:r w:rsidDel="00000000" w:rsidR="00000000" w:rsidRPr="00000000">
        <w:rPr>
          <w:rFonts w:ascii="Google Sans" w:cs="Google Sans" w:eastAsia="Google Sans" w:hAnsi="Google Sans"/>
          <w:color w:val="1f1f1f"/>
          <w:rtl w:val="0"/>
        </w:rPr>
        <w:t xml:space="preserve"> This will act as the controller for the SpiNNaker2 board. </w:t>
      </w:r>
      <w:r w:rsidDel="00000000" w:rsidR="00000000" w:rsidRPr="00000000">
        <w:rPr>
          <w:rFonts w:ascii="Google Sans" w:cs="Google Sans" w:eastAsia="Google Sans" w:hAnsi="Google Sans"/>
          <w:i w:val="1"/>
          <w:iCs w:val="1"/>
          <w:color w:val="1f1f1f"/>
          <w:rtl w:val="0"/>
        </w:rPr>
        <w:t xml:space="preserve">Note on budget:</w:t>
      </w:r>
      <w:r w:rsidDel="00000000" w:rsidR="00000000" w:rsidRPr="00000000">
        <w:rPr>
          <w:rFonts w:ascii="Google Sans" w:cs="Google Sans" w:eastAsia="Google Sans" w:hAnsi="Google Sans"/>
          <w:color w:val="1f1f1f"/>
          <w:rtl w:val="0"/>
        </w:rPr>
        <w:t xml:space="preserve"> Be aware that as of this month (February 2026), a massive AI-driven DRAM shortage just caused Raspberry Pi 5 prices to skyrocket. The 16GB version is currently sitting around $205, and the 8GB is $125.</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Mobile Testing Device:</w:t>
      </w:r>
      <w:r w:rsidDel="00000000" w:rsidR="00000000" w:rsidRPr="00000000">
        <w:rPr>
          <w:rFonts w:ascii="Google Sans" w:cs="Google Sans" w:eastAsia="Google Sans" w:hAnsi="Google Sans"/>
          <w:color w:val="1f1f1f"/>
          <w:rtl w:val="0"/>
        </w:rPr>
        <w:t xml:space="preserve"> A flagship smartphone with an accessible Neural Processing Unit (NPU) partition, such as a Google Pixel 8/9 or a recent iPhone.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B. Software Dependencies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py-spinnaker2:</w:t>
      </w:r>
      <w:r w:rsidDel="00000000" w:rsidR="00000000" w:rsidRPr="00000000">
        <w:rPr>
          <w:rFonts w:ascii="Google Sans" w:cs="Google Sans" w:eastAsia="Google Sans" w:hAnsi="Google Sans"/>
          <w:color w:val="1f1f1f"/>
          <w:rtl w:val="0"/>
        </w:rPr>
        <w:t xml:space="preserve"> The official, lightweight Python interface for running experiments on the SpiNNaker2 chip. This is what you will use to write the actual neural logic.</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libp2p:</w:t>
      </w:r>
      <w:r w:rsidDel="00000000" w:rsidR="00000000" w:rsidRPr="00000000">
        <w:rPr>
          <w:rFonts w:ascii="Google Sans" w:cs="Google Sans" w:eastAsia="Google Sans" w:hAnsi="Google Sans"/>
          <w:color w:val="1f1f1f"/>
          <w:rtl w:val="0"/>
        </w:rPr>
        <w:t xml:space="preserve"> The modular network stack (originally built for IPFS) that you will use to write the peer-to-peer gossip protocol between the Pi and the phone.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Bittensor subtensor Node:</w:t>
      </w:r>
      <w:r w:rsidDel="00000000" w:rsidR="00000000" w:rsidRPr="00000000">
        <w:rPr>
          <w:rFonts w:ascii="Google Sans" w:cs="Google Sans" w:eastAsia="Google Sans" w:hAnsi="Google Sans"/>
          <w:color w:val="1f1f1f"/>
          <w:rtl w:val="0"/>
        </w:rPr>
        <w:t xml:space="preserve"> You will need to deploy a local subtensor chain on your PC to test the tokenomics and the Proof of Useful Work (PoUW) reward distribution before ever touching the live network.</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36"/>
          <w:szCs w:val="36"/>
          <w:rtl w:val="0"/>
        </w:rPr>
        <w:t xml:space="preserve">2. Phase 1: The Local Seed (Months 1–3)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Goal: Prove that a Spiking Neural Network (SNN) can execute on edge hardware and communicate via a decentralized mesh.</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1: The Home Neuron Assembly:</w:t>
      </w:r>
      <w:r w:rsidDel="00000000" w:rsidR="00000000" w:rsidRPr="00000000">
        <w:rPr>
          <w:rFonts w:ascii="Google Sans" w:cs="Google Sans" w:eastAsia="Google Sans" w:hAnsi="Google Sans"/>
          <w:color w:val="1f1f1f"/>
          <w:rtl w:val="0"/>
        </w:rPr>
        <w:t xml:space="preserve"> Connect the Raspberry Pi 5 to the SpiNNaker2 dev board. Install the py-spinnaker2 environment.</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2: "Skill 0" (The Baseline):</w:t>
      </w:r>
      <w:r w:rsidDel="00000000" w:rsidR="00000000" w:rsidRPr="00000000">
        <w:rPr>
          <w:rFonts w:ascii="Google Sans" w:cs="Google Sans" w:eastAsia="Google Sans" w:hAnsi="Google Sans"/>
          <w:color w:val="1f1f1f"/>
          <w:rtl w:val="0"/>
        </w:rPr>
        <w:t xml:space="preserve"> Instead of starting with a massive medical AI, start with a microscopic model. Train a tiny, 3-layer neural network to do something simple (like basic sentiment analysis or a calculator function). Convert this model into a Spiking Neural Network using the Leaky Integrate-and-Fire (LIF) mathematics outlined in Doc 1.</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3: The 2-Node Mesh:</w:t>
      </w:r>
      <w:r w:rsidDel="00000000" w:rsidR="00000000" w:rsidRPr="00000000">
        <w:rPr>
          <w:rFonts w:ascii="Google Sans" w:cs="Google Sans" w:eastAsia="Google Sans" w:hAnsi="Google Sans"/>
          <w:color w:val="1f1f1f"/>
          <w:rtl w:val="0"/>
        </w:rPr>
        <w:t xml:space="preserve"> Establish a libp2p connection over your local home Wi-Fi between your PC and the Raspberry Pi. Send a "spike" (a query) from the PC to the Pi, have the Pi process the answer using the SpiNNaker board, and return the spike.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36"/>
          <w:szCs w:val="36"/>
          <w:rtl w:val="0"/>
        </w:rPr>
        <w:t xml:space="preserve">3. Phase 2: The Mobile Alpha &amp; UI Integration (Months 4–6)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Goal: Bring the network to the consumer edge and build the "Synapse" interface.</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1: Frontend Scaffolding:</w:t>
      </w:r>
      <w:r w:rsidDel="00000000" w:rsidR="00000000" w:rsidRPr="00000000">
        <w:rPr>
          <w:rFonts w:ascii="Google Sans" w:cs="Google Sans" w:eastAsia="Google Sans" w:hAnsi="Google Sans"/>
          <w:color w:val="1f1f1f"/>
          <w:rtl w:val="0"/>
        </w:rPr>
        <w:t xml:space="preserve"> While you establish the local neuromorphic environment and script the complex SNN translations, Jade can begin scaffolding the frontend for the Synapse mobile application. This involves building the "Local vs. Mesh" toggle, the chat interface, and the token earnings dashboard.</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2: NPU Partitioning:</w:t>
      </w:r>
      <w:r w:rsidDel="00000000" w:rsidR="00000000" w:rsidRPr="00000000">
        <w:rPr>
          <w:rFonts w:ascii="Google Sans" w:cs="Google Sans" w:eastAsia="Google Sans" w:hAnsi="Google Sans"/>
          <w:color w:val="1f1f1f"/>
          <w:rtl w:val="0"/>
        </w:rPr>
        <w:t xml:space="preserve"> Write the mobile bridging code that allows the Synapse app to access the phone's sandboxed NPU without draining the battery.</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3: The Edge-to-Edge Test:</w:t>
      </w:r>
      <w:r w:rsidDel="00000000" w:rsidR="00000000" w:rsidRPr="00000000">
        <w:rPr>
          <w:rFonts w:ascii="Google Sans" w:cs="Google Sans" w:eastAsia="Google Sans" w:hAnsi="Google Sans"/>
          <w:color w:val="1f1f1f"/>
          <w:rtl w:val="0"/>
        </w:rPr>
        <w:t xml:space="preserve"> Disconnect the Home Neuron from the internet. Use the Synapse mobile app to ping the Raspberry Pi over local Bluetooth or Wi-Fi Direct. Request "Skill 0" and measure the latency and battery drain. This proves the system works in an "internet blackout" scenario.</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36"/>
          <w:szCs w:val="36"/>
          <w:rtl w:val="0"/>
        </w:rPr>
        <w:t xml:space="preserve">4. Phase 3: The Bittensor Subnet Launch (Months 7–9)</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Goal: Integrate the blockchain, test the tokenomics, and prepare for public developers.</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1: Testnet Deployment:</w:t>
      </w:r>
      <w:r w:rsidDel="00000000" w:rsidR="00000000" w:rsidRPr="00000000">
        <w:rPr>
          <w:rFonts w:ascii="Google Sans" w:cs="Google Sans" w:eastAsia="Google Sans" w:hAnsi="Google Sans"/>
          <w:color w:val="1f1f1f"/>
          <w:rtl w:val="0"/>
        </w:rPr>
        <w:t xml:space="preserve"> Register the THOR/Synapse subnet on the Bittensor Testnet. This does not require burning real $TAO tokens.</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2: The zkML Validation Loop:</w:t>
      </w:r>
      <w:r w:rsidDel="00000000" w:rsidR="00000000" w:rsidRPr="00000000">
        <w:rPr>
          <w:rFonts w:ascii="Google Sans" w:cs="Google Sans" w:eastAsia="Google Sans" w:hAnsi="Google Sans"/>
          <w:color w:val="1f1f1f"/>
          <w:rtl w:val="0"/>
        </w:rPr>
        <w:t xml:space="preserve"> Program the Tier II Validator logic. Have the mobile phone run "Skill 0", generate a Zero-Knowledge Proof, and send it to the Raspberry Pi. The Pi verifies the proof and triggers the testnet smart contract to reward the phone with test $SYN tokens.</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3: The Halvening &amp; Multiplier Stress Test:</w:t>
      </w:r>
      <w:r w:rsidDel="00000000" w:rsidR="00000000" w:rsidRPr="00000000">
        <w:rPr>
          <w:rFonts w:ascii="Google Sans" w:cs="Google Sans" w:eastAsia="Google Sans" w:hAnsi="Google Sans"/>
          <w:color w:val="1f1f1f"/>
          <w:rtl w:val="0"/>
        </w:rPr>
        <w:t xml:space="preserve"> Simulate 10,000 virtual nodes joining the network. Test the code that handles the "New Expert Bonus" and geographic scarcity multipliers we designed in Doc 2 to ensure the token economy doesn't collapse under pressure.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36"/>
          <w:szCs w:val="36"/>
          <w:rtl w:val="0"/>
        </w:rPr>
        <w:t xml:space="preserve">5. Phase 4: Public Beta &amp; The UT San Antonio Bridge (Months 10–12)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Goal: Connect the edge mesh to the Tier I Core.</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1: THOR Hub Integration:</w:t>
      </w:r>
      <w:r w:rsidDel="00000000" w:rsidR="00000000" w:rsidRPr="00000000">
        <w:rPr>
          <w:rFonts w:ascii="Google Sans" w:cs="Google Sans" w:eastAsia="Google Sans" w:hAnsi="Google Sans"/>
          <w:color w:val="1f1f1f"/>
          <w:rtl w:val="0"/>
        </w:rPr>
        <w:t xml:space="preserve"> With a working local mesh and proven testnet tokenomics, apply for a research partnership with UT San Antonio. Connect your mobile mesh to their massive SpiNNaker2 supercomputer via API.</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2: The "Grandma Test":</w:t>
      </w:r>
      <w:r w:rsidDel="00000000" w:rsidR="00000000" w:rsidRPr="00000000">
        <w:rPr>
          <w:rFonts w:ascii="Google Sans" w:cs="Google Sans" w:eastAsia="Google Sans" w:hAnsi="Google Sans"/>
          <w:color w:val="1f1f1f"/>
          <w:rtl w:val="0"/>
        </w:rPr>
        <w:t xml:space="preserve"> Release the app to a closed beta of non-technical users. Verify that they can seamlessly download a skill (like a recipe generator), use it flawlessly, and earn tokens in the background without understanding the underlying tech.</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3: Mainnet Subnet Registration:</w:t>
      </w:r>
      <w:r w:rsidDel="00000000" w:rsidR="00000000" w:rsidRPr="00000000">
        <w:rPr>
          <w:rFonts w:ascii="Google Sans" w:cs="Google Sans" w:eastAsia="Google Sans" w:hAnsi="Google Sans"/>
          <w:color w:val="1f1f1f"/>
          <w:rtl w:val="0"/>
        </w:rPr>
        <w:t xml:space="preserve"> Pay the dynamic $TAO burn cost to register the subnet on the live Bittensor mainnet, officially launching the $SYN token and the Global Neuromorphic Mesh.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Now that you have the Architecture (Doc 1), the Economy (Doc 2), and the Action Plan (Doc 3) permanently documented, you have the complete foundation for your project.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Would you like me to draft the formal Executive Summary / Whitepaper Abstract that you can use to pitch this to potential research partners or the Bittensor community?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