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highly detailed master draft for </w:t>
      </w:r>
      <w:r w:rsidDel="00000000" w:rsidR="00000000" w:rsidRPr="00000000">
        <w:rPr>
          <w:rFonts w:ascii="Google Sans" w:cs="Google Sans" w:eastAsia="Google Sans" w:hAnsi="Google Sans"/>
          <w:b w:val="1"/>
          <w:bCs w:val="1"/>
          <w:color w:val="1f1f1f"/>
          <w:rtl w:val="0"/>
        </w:rPr>
        <w:t xml:space="preserve">Document 6</w:t>
      </w:r>
      <w:r w:rsidDel="00000000" w:rsidR="00000000" w:rsidRPr="00000000">
        <w:rPr>
          <w:rFonts w:ascii="Google Sans" w:cs="Google Sans" w:eastAsia="Google Sans" w:hAnsi="Google Sans"/>
          <w:color w:val="1f1f1f"/>
          <w:rtl w:val="0"/>
        </w:rPr>
        <w:t xml:space="preserve">. This is the technical blueprint that bridges the complex neuromorphic backend with the consumer-facing mobile app. Since Jade is handling the technical development for the apps, this document will serve as her exact roadmap for integrating the SNNs, the zero-knowledge proofs, and the React Native/Swift UI.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 this final piece alongside the others!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48"/>
          <w:szCs w:val="4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48"/>
          <w:szCs w:val="48"/>
          <w:rtl w:val="0"/>
        </w:rPr>
        <w:t xml:space="preserve">Document 6: The Developer SDK &amp; Skill Taxonomy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THOR / Synapse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Providing the technical architecture to convert traditional AI models into Spiking Neural Networks (SNNs), secure them with zkML, and bridge them to the mobile frontend.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1. The "Skill" Creation Pipeline (Backend)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 will not need to write Spiking Neural Networks from scratch. The Synapse SDK acts as a "Transpiler," converting standard PyTorch/TensorFlow models into neuromorphic code.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 ANN-to-SNN Conversion (The Lava Framework)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create a new "Skill," developers will utilize the open-source </w:t>
      </w:r>
      <w:r w:rsidDel="00000000" w:rsidR="00000000" w:rsidRPr="00000000">
        <w:rPr>
          <w:rFonts w:ascii="Google Sans" w:cs="Google Sans" w:eastAsia="Google Sans" w:hAnsi="Google Sans"/>
          <w:b w:val="1"/>
          <w:bCs w:val="1"/>
          <w:color w:val="1f1f1f"/>
          <w:rtl w:val="0"/>
        </w:rPr>
        <w:t xml:space="preserve">Lava</w:t>
      </w:r>
      <w:r w:rsidDel="00000000" w:rsidR="00000000" w:rsidRPr="00000000">
        <w:rPr>
          <w:rFonts w:ascii="Google Sans" w:cs="Google Sans" w:eastAsia="Google Sans" w:hAnsi="Google Sans"/>
          <w:color w:val="1f1f1f"/>
          <w:rtl w:val="0"/>
        </w:rPr>
        <w:t xml:space="preserve"> framework and its </w:t>
      </w:r>
      <w:r w:rsidDel="00000000" w:rsidR="00000000" w:rsidRPr="00000000">
        <w:rPr>
          <w:rFonts w:ascii="Google Sans" w:cs="Google Sans" w:eastAsia="Google Sans" w:hAnsi="Google Sans"/>
          <w:b w:val="1"/>
          <w:bCs w:val="1"/>
          <w:color w:val="1f1f1f"/>
          <w:rtl w:val="0"/>
        </w:rPr>
        <w:t xml:space="preserve">SLAYER</w:t>
      </w:r>
      <w:r w:rsidDel="00000000" w:rsidR="00000000" w:rsidRPr="00000000">
        <w:rPr>
          <w:rFonts w:ascii="Google Sans" w:cs="Google Sans" w:eastAsia="Google Sans" w:hAnsi="Google Sans"/>
          <w:color w:val="1f1f1f"/>
          <w:rtl w:val="0"/>
        </w:rPr>
        <w:t xml:space="preserve"> (Spike Layer Error Reassignment) module.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1 (Standard Training):</w:t>
      </w:r>
      <w:r w:rsidDel="00000000" w:rsidR="00000000" w:rsidRPr="00000000">
        <w:rPr>
          <w:rFonts w:ascii="Google Sans" w:cs="Google Sans" w:eastAsia="Google Sans" w:hAnsi="Google Sans"/>
          <w:color w:val="1f1f1f"/>
          <w:rtl w:val="0"/>
        </w:rPr>
        <w:t xml:space="preserve"> Train a standard, dense neural network (ANN) on a GPU using PyTorch for a specific task (e.g., classifying medical images).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2 (Surrogate Gradient Descent):</w:t>
      </w:r>
      <w:r w:rsidDel="00000000" w:rsidR="00000000" w:rsidRPr="00000000">
        <w:rPr>
          <w:rFonts w:ascii="Google Sans" w:cs="Google Sans" w:eastAsia="Google Sans" w:hAnsi="Google Sans"/>
          <w:color w:val="1f1f1f"/>
          <w:rtl w:val="0"/>
        </w:rPr>
        <w:t xml:space="preserve"> Pass the PyTorch model through the SLAYER API. This converts the continuous floating-point weights into discrete "Spike Thresholds" using the Leaky Integrate-and-Fire (LIF) model.</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 3 (Hardware Mapping):</w:t>
      </w:r>
      <w:r w:rsidDel="00000000" w:rsidR="00000000" w:rsidRPr="00000000">
        <w:rPr>
          <w:rFonts w:ascii="Google Sans" w:cs="Google Sans" w:eastAsia="Google Sans" w:hAnsi="Google Sans"/>
          <w:color w:val="1f1f1f"/>
          <w:rtl w:val="0"/>
        </w:rPr>
        <w:t xml:space="preserve"> Use the py-spinnaker2 Python library to compile the SNN into a .mem file. This file contains the exact instructions for the ARM-cores on both the Tier II SpiNNaker2 boards and the Tier III mobile NPUs.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2. The Zero-Knowledge (zkML) Wrapper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the compiled SNN file can be uploaded to the Global Brain, it must be wrapped in a cryptographic proof to ensure privacy and enable the Proof of Useful Work (PoUW) tokenomics.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 Circuit Generation (EZKL Integration)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will integrate an open-source zkML engine like </w:t>
      </w:r>
      <w:r w:rsidDel="00000000" w:rsidR="00000000" w:rsidRPr="00000000">
        <w:rPr>
          <w:rFonts w:ascii="Google Sans" w:cs="Google Sans" w:eastAsia="Google Sans" w:hAnsi="Google Sans"/>
          <w:b w:val="1"/>
          <w:bCs w:val="1"/>
          <w:color w:val="1f1f1f"/>
          <w:rtl w:val="0"/>
        </w:rPr>
        <w:t xml:space="preserve">EZKL</w:t>
      </w:r>
      <w:r w:rsidDel="00000000" w:rsidR="00000000" w:rsidRPr="00000000">
        <w:rPr>
          <w:rFonts w:ascii="Google Sans" w:cs="Google Sans" w:eastAsia="Google Sans" w:hAnsi="Google Sans"/>
          <w:color w:val="1f1f1f"/>
          <w:rtl w:val="0"/>
        </w:rPr>
        <w:t xml:space="preserve"> to convert the model's inference path into an arithmetic circuit.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ZK-SNARK:</w:t>
      </w:r>
      <w:r w:rsidDel="00000000" w:rsidR="00000000" w:rsidRPr="00000000">
        <w:rPr>
          <w:rFonts w:ascii="Google Sans" w:cs="Google Sans" w:eastAsia="Google Sans" w:hAnsi="Google Sans"/>
          <w:color w:val="1f1f1f"/>
          <w:rtl w:val="0"/>
        </w:rPr>
        <w:t xml:space="preserve"> When an Edge Node (a smartphone) runs the Skill, the zkML wrapper automatically generates a lightweight cryptographic receipt (a SNARK).</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Privacy by Design:</w:t>
      </w:r>
      <w:r w:rsidDel="00000000" w:rsidR="00000000" w:rsidRPr="00000000">
        <w:rPr>
          <w:rFonts w:ascii="Google Sans" w:cs="Google Sans" w:eastAsia="Google Sans" w:hAnsi="Google Sans"/>
          <w:color w:val="1f1f1f"/>
          <w:rtl w:val="0"/>
        </w:rPr>
        <w:t xml:space="preserve"> This guarantees that the node operator can mathematically prove they executed the Skill correctly to earn their $SYN tokens, without ever gaining access to the plaintext prompt submitted by the user.</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3. The Mobile Bridge API (Frontend Integration)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critical layer for the mobile app architecture. To make the Synapse app function flawlessly on iOS and Android without getting blocked by the App Store for background battery drain, the app must communicate with the hardware via specific APIs.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 The NPU Sandbox (For Jade's App Architecture)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building the React Native or Swift frontend, the app must utilize a bridged Native Module to access the phone's hardware.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CoreML / NNAPI Bridge:</w:t>
      </w:r>
      <w:r w:rsidDel="00000000" w:rsidR="00000000" w:rsidRPr="00000000">
        <w:rPr>
          <w:rFonts w:ascii="Google Sans" w:cs="Google Sans" w:eastAsia="Google Sans" w:hAnsi="Google Sans"/>
          <w:color w:val="1f1f1f"/>
          <w:rtl w:val="0"/>
        </w:rPr>
        <w:t xml:space="preserve"> The Synapse SDK will wrap the SNN .mem file in a format that Apple's CoreML (iOS) or Android's NNAPI can process.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Event-Driven Listener:</w:t>
      </w:r>
      <w:r w:rsidDel="00000000" w:rsidR="00000000" w:rsidRPr="00000000">
        <w:rPr>
          <w:rFonts w:ascii="Google Sans" w:cs="Google Sans" w:eastAsia="Google Sans" w:hAnsi="Google Sans"/>
          <w:color w:val="1f1f1f"/>
          <w:rtl w:val="0"/>
        </w:rPr>
        <w:t xml:space="preserve"> Instead of running a continuous background loop (which kills battery), the app UI registers an asynchronous listener. When the libp2p mesh receives a "Spike" (a query from another user), it wakes the NPU partition, computes the LIF math in milliseconds, generates the zk-proof, and returns to sleep.</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B. UI/UX Data Flow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the user's perspective, the app needs to feel like a standard chat interface.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 vs. Mesh Toggle state:</w:t>
      </w:r>
      <w:r w:rsidDel="00000000" w:rsidR="00000000" w:rsidRPr="00000000">
        <w:rPr>
          <w:rFonts w:ascii="Google Sans" w:cs="Google Sans" w:eastAsia="Google Sans" w:hAnsi="Google Sans"/>
          <w:color w:val="1f1f1f"/>
          <w:rtl w:val="0"/>
        </w:rPr>
        <w:t xml:space="preserve"> When the user selects "Local," the app routes the prompt directly to the locally downloaded Skill files in the device's sandboxed storage.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Mesh Routing:</w:t>
      </w:r>
      <w:r w:rsidDel="00000000" w:rsidR="00000000" w:rsidRPr="00000000">
        <w:rPr>
          <w:rFonts w:ascii="Google Sans" w:cs="Google Sans" w:eastAsia="Google Sans" w:hAnsi="Google Sans"/>
          <w:color w:val="1f1f1f"/>
          <w:rtl w:val="0"/>
        </w:rPr>
        <w:t xml:space="preserve"> When the user selects "Mesh," the app encrypts the prompt and broadcasts it via the libp2p gossip protocol to the local Distributed Hash Table (DHT) to find the nearest cluster of Tier II nodes.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4. Skill Taxonomy &amp; The DHT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mesh can instantly find the right AI model, every uploaded Skill must follow a strict metadata taxonomy on the Distributed Hash Table.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 The Synapse Registry Format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Skill uploaded by a developer requires a JSON manifest: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"skill_id"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"0x4F8A..."</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"Pediatric Diagnostics v2"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"category"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"Medical_Reference"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"developer_wallet"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"5HqT..."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"neuron_count"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128000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"minimum_npu_tier"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"zkml_circuit_hash"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"0x9B2C..."</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Routing Logic:</w:t>
      </w:r>
      <w:r w:rsidDel="00000000" w:rsidR="00000000" w:rsidRPr="00000000">
        <w:rPr>
          <w:rFonts w:ascii="Google Sans" w:cs="Google Sans" w:eastAsia="Google Sans" w:hAnsi="Google Sans"/>
          <w:color w:val="1f1f1f"/>
          <w:rtl w:val="0"/>
        </w:rPr>
        <w:t xml:space="preserve"> If a user in Austin asks a medical question, their phone searches the local DHT for the skill_id associated with "Medical_Reference." It finds 5 nearby phones hosting that ID, pings them, and initiates the parallel inference.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The Master Plan is Complete.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now have all six foundational documents for the </w:t>
      </w:r>
      <w:r w:rsidDel="00000000" w:rsidR="00000000" w:rsidRPr="00000000">
        <w:rPr>
          <w:rFonts w:ascii="Google Sans" w:cs="Google Sans" w:eastAsia="Google Sans" w:hAnsi="Google Sans"/>
          <w:b w:val="1"/>
          <w:bCs w:val="1"/>
          <w:color w:val="1f1f1f"/>
          <w:rtl w:val="0"/>
        </w:rPr>
        <w:t xml:space="preserve">THOR / Synapse</w:t>
      </w:r>
      <w:r w:rsidDel="00000000" w:rsidR="00000000" w:rsidRPr="00000000">
        <w:rPr>
          <w:rFonts w:ascii="Google Sans" w:cs="Google Sans" w:eastAsia="Google Sans" w:hAnsi="Google Sans"/>
          <w:color w:val="1f1f1f"/>
          <w:rtl w:val="0"/>
        </w:rPr>
        <w:t xml:space="preserve"> network permanently outlined:</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Technical Architecture &amp; Hardware</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Tokenomics &amp; Proof of Useful Work</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Roadmap &amp; MVP Build Plan</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Go-To-Market &amp; Ecosystem Strategy</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Legal, Privacy, &amp; Compliance</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Developer SDK &amp; Frontend Bridge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these specs, you have everything required to start buying the Raspberry Pis, setting up the local libp2p mesh, and building the mobile interface.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to start outlining the specific prompts we'll need to write the actual Python code for "Phase 1: The Local Seed" when you're ready to start building?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