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80" w:line="276" w:lineRule="auto"/>
        <w:jc w:val="center"/>
      </w:pPr>
      <w:r>
        <w:rPr>
          <w:rFonts w:ascii="맑은 고딕" w:hAnsi="맑은 고딕" w:eastAsia="맑은 고딕" w:cs="맑은 고딕"/>
          <w:b/>
          <w:sz w:val="26"/>
        </w:rPr>
        <w:t>출처·AI 활용 신고서</w:t>
      </w:r>
    </w:p>
    <w:p>
      <w:pPr>
        <w:keepNext w:val="0"/>
        <w:spacing w:before="0" w:after="60" w:line="276" w:lineRule="auto"/>
      </w:pPr>
      <w:r>
        <w:rPr>
          <w:rFonts w:ascii="맑은 고딕" w:hAnsi="맑은 고딕" w:eastAsia="맑은 고딕" w:cs="맑은 고딕"/>
          <w:b w:val="0"/>
          <w:sz w:val="20"/>
        </w:rPr>
        <w:t>팀명 철철철 · 작품명 실시간 축제 민원 관제 AI Agent · 저장소 https://github.com/INJE-NULLPOINT/festival-complaint-agent (공개 저장소)</w:t>
      </w:r>
    </w:p>
    <w:p>
      <w:pPr>
        <w:keepNext w:val="0"/>
        <w:spacing w:before="0" w:after="60" w:line="276" w:lineRule="auto"/>
      </w:pPr>
      <w:r>
        <w:rPr>
          <w:rFonts w:ascii="맑은 고딕" w:hAnsi="맑은 고딕" w:eastAsia="맑은 고딕" w:cs="맑은 고딕"/>
          <w:b w:val="0"/>
          <w:sz w:val="20"/>
        </w:rPr>
        <w:t>운영규정(출처·AI 활용 신고)과 서류평가 체크리스트 12번에 따라 주요 AI 도구, 공개 코드, 모델, 데이터, 외부 API, 기존자산의 출처와 신규개발분을 적는다. 오픈소스 버전은 2026-10-01 설치본 기준이다.</w:t>
      </w:r>
    </w:p>
    <w:p>
      <w:pPr>
        <w:keepNext/>
        <w:spacing w:before="160" w:after="60" w:line="240" w:lineRule="auto"/>
      </w:pPr>
      <w:r>
        <w:rPr>
          <w:rFonts w:ascii="맑은 고딕" w:hAnsi="맑은 고딕" w:eastAsia="맑은 고딕" w:cs="맑은 고딕"/>
          <w:b/>
          <w:sz w:val="25"/>
        </w:rPr>
        <w:t>1. AI 도구 활용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953"/>
            <w:shd w:val="clear" w:color="auto" w:fill="EDEDED"/>
          </w:tcPr>
          <w:p>
            <w:pPr>
              <w:keepNext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구분</w:t>
            </w:r>
          </w:p>
        </w:tc>
        <w:tc>
          <w:tcPr>
            <w:tcW w:type="dxa" w:w="3050"/>
            <w:shd w:val="clear" w:color="auto" w:fill="EDEDED"/>
          </w:tcPr>
          <w:p>
            <w:pPr>
              <w:keepNext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도구</w:t>
            </w:r>
          </w:p>
        </w:tc>
        <w:tc>
          <w:tcPr>
            <w:tcW w:type="dxa" w:w="2812"/>
            <w:shd w:val="clear" w:color="auto" w:fill="EDEDED"/>
          </w:tcPr>
          <w:p>
            <w:pPr>
              <w:keepNext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용도</w:t>
            </w:r>
          </w:p>
        </w:tc>
        <w:tc>
          <w:tcPr>
            <w:tcW w:type="dxa" w:w="3050"/>
            <w:shd w:val="clear" w:color="auto" w:fill="EDEDED"/>
          </w:tcPr>
          <w:p>
            <w:pPr>
              <w:keepNext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활용 범위</w:t>
            </w:r>
          </w:p>
        </w:tc>
      </w:tr>
      <w:tr>
        <w:tc>
          <w:tcPr>
            <w:tcW w:type="dxa" w:w="953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개발 보조</w:t>
            </w:r>
          </w:p>
        </w:tc>
        <w:tc>
          <w:tcPr>
            <w:tcW w:type="dxa" w:w="3050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Claude Code (Anthropic)</w:t>
            </w:r>
          </w:p>
        </w:tc>
        <w:tc>
          <w:tcPr>
            <w:tcW w:type="dxa" w:w="2812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코드 작성·디버깅·테스트·문서 초안 작성·자료 조사 보조</w:t>
            </w:r>
          </w:p>
        </w:tc>
        <w:tc>
          <w:tcPr>
            <w:tcW w:type="dxa" w:w="3050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아래 1-1 표로 'AI가 만든 부분'과 '팀이 정한 부분'을 나눠 적음</w:t>
            </w:r>
          </w:p>
        </w:tc>
      </w:tr>
      <w:tr>
        <w:tc>
          <w:tcPr>
            <w:tcW w:type="dxa" w:w="953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에이전트 모델 (제출·시연)</w:t>
            </w:r>
          </w:p>
        </w:tc>
        <w:tc>
          <w:tcPr>
            <w:tcW w:type="dxa" w:w="3050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Claude Opus 5.5 (claude-opus-5-5), Claude Code CLI(claude -p, LLM_BACKEND=claude_code) 경유</w:t>
            </w:r>
          </w:p>
        </w:tc>
        <w:tc>
          <w:tcPr>
            <w:tcW w:type="dxa" w:w="2812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에이전트 5종의 판단(주기 계획, 민원 분류, 인용 선별, 우선순위 조정, 브리핑·조치요청서 문장)</w:t>
            </w:r>
          </w:p>
        </w:tc>
        <w:tc>
          <w:tcPr>
            <w:tcW w:type="dxa" w:w="3050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점수·등급·순위 계산에는 쓰지 않음(결정적 함수). API 키 없이 제출·시연(사용자 결정 2026-10-05)</w:t>
            </w:r>
          </w:p>
        </w:tc>
      </w:tr>
      <w:tr>
        <w:tc>
          <w:tcPr>
            <w:tcW w:type="dxa" w:w="953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Claude API 직접 호출</w:t>
            </w:r>
          </w:p>
        </w:tc>
        <w:tc>
          <w:tcPr>
            <w:tcW w:type="dxa" w:w="3050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Anthropic API (LLM_BACKEND=anthropic)</w:t>
            </w:r>
          </w:p>
        </w:tc>
        <w:tc>
          <w:tcPr>
            <w:tcW w:type="dxa" w:w="2812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같은 판단을 API로 호출하는 경로</w:t>
            </w:r>
          </w:p>
        </w:tc>
        <w:tc>
          <w:tcPr>
            <w:tcW w:type="dxa" w:w="3050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코드에 있으나 이번 제출에서는 쓰지 않음</w:t>
            </w:r>
          </w:p>
        </w:tc>
      </w:tr>
      <w:tr>
        <w:tc>
          <w:tcPr>
            <w:tcW w:type="dxa" w:w="953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그 외 AI 도구</w:t>
            </w:r>
          </w:p>
        </w:tc>
        <w:tc>
          <w:tcPr>
            <w:tcW w:type="dxa" w:w="3050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없음</w:t>
            </w:r>
          </w:p>
        </w:tc>
        <w:tc>
          <w:tcPr>
            <w:tcW w:type="dxa" w:w="2812"/>
          </w:tcPr>
          <w:p>
            <w:pPr>
              <w:keepNext w:val="0"/>
              <w:spacing w:before="0" w:after="0" w:line="240" w:lineRule="auto"/>
            </w:pPr>
          </w:p>
        </w:tc>
        <w:tc>
          <w:tcPr>
            <w:tcW w:type="dxa" w:w="3050"/>
          </w:tcPr>
          <w:p>
            <w:pPr>
              <w:keepNext w:val="0"/>
              <w:spacing w:before="0" w:after="0" w:line="240" w:lineRule="auto"/>
            </w:pPr>
          </w:p>
        </w:tc>
      </w:tr>
    </w:tbl>
    <w:p>
      <w:pPr>
        <w:keepNext w:val="0"/>
        <w:spacing w:before="0" w:after="0" w:line="240" w:lineRule="auto"/>
      </w:pPr>
      <w:r>
        <w:rPr>
          <w:rFonts w:ascii="맑은 고딕" w:hAnsi="맑은 고딕" w:eastAsia="맑은 고딕" w:cs="맑은 고딕"/>
          <w:b w:val="0"/>
          <w:sz w:val="12"/>
        </w:rPr>
      </w:r>
    </w:p>
    <w:p>
      <w:pPr>
        <w:keepNext/>
        <w:spacing w:before="100" w:after="40" w:line="240" w:lineRule="auto"/>
      </w:pPr>
      <w:r>
        <w:rPr>
          <w:rFonts w:ascii="맑은 고딕" w:hAnsi="맑은 고딕" w:eastAsia="맑은 고딕" w:cs="맑은 고딕"/>
          <w:b/>
          <w:sz w:val="21"/>
        </w:rPr>
        <w:t>1-1. AI 도구가 만든 부분과 팀이 정한 부분</w:t>
      </w:r>
    </w:p>
    <w:p>
      <w:pPr>
        <w:keepNext w:val="0"/>
        <w:spacing w:before="0" w:after="60" w:line="276" w:lineRule="auto"/>
      </w:pPr>
      <w:r>
        <w:rPr>
          <w:rFonts w:ascii="맑은 고딕" w:hAnsi="맑은 고딕" w:eastAsia="맑은 고딕" w:cs="맑은 고딕"/>
          <w:b/>
          <w:sz w:val="20"/>
        </w:rPr>
        <w:t>A. AI 도구(Claude Code)가 만든 부분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012"/>
            <w:shd w:val="clear" w:color="auto" w:fill="EDEDED"/>
          </w:tcPr>
          <w:p>
            <w:pPr>
              <w:keepNext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영역</w:t>
            </w:r>
          </w:p>
        </w:tc>
        <w:tc>
          <w:tcPr>
            <w:tcW w:type="dxa" w:w="5396"/>
            <w:shd w:val="clear" w:color="auto" w:fill="EDEDED"/>
          </w:tcPr>
          <w:p>
            <w:pPr>
              <w:keepNext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만든 것</w:t>
            </w:r>
          </w:p>
        </w:tc>
        <w:tc>
          <w:tcPr>
            <w:tcW w:type="dxa" w:w="3457"/>
            <w:shd w:val="clear" w:color="auto" w:fill="EDEDED"/>
          </w:tcPr>
          <w:p>
            <w:pPr>
              <w:keepNext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사람 검토 방식</w:t>
            </w:r>
          </w:p>
        </w:tc>
      </w:tr>
      <w:tr>
        <w:tc>
          <w:tcPr>
            <w:tcW w:type="dxa" w:w="1012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서버 코드</w:t>
            </w:r>
          </w:p>
        </w:tc>
        <w:tc>
          <w:tcPr>
            <w:tcW w:type="dxa" w:w="5396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에이전트 5종·도구·작업 큐·심각도 함수·DB 계층·웹 API (TypeScript), Python 판에서 TS 판으로의 이식</w:t>
            </w:r>
          </w:p>
        </w:tc>
        <w:tc>
          <w:tcPr>
            <w:tcW w:type="dxa" w:w="3457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기능은 사람이 지시하고, 화면을 직접 써 보고 테스트 결과를 확인함</w:t>
            </w:r>
          </w:p>
        </w:tc>
      </w:tr>
      <w:tr>
        <w:tc>
          <w:tcPr>
            <w:tcW w:type="dxa" w:w="1012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웹 화면 코드</w:t>
            </w:r>
          </w:p>
        </w:tc>
        <w:tc>
          <w:tcPr>
            <w:tcW w:type="dxa" w:w="5396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방문객 접수·관제·조치·QR 만들기·AI 동작 보기 화면 (Vite + TypeScript, CSS)</w:t>
            </w:r>
          </w:p>
        </w:tc>
        <w:tc>
          <w:tcPr>
            <w:tcW w:type="dxa" w:w="3457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기능은 사람이 지시하고, 화면을 직접 써 보고 테스트 결과를 확인함</w:t>
            </w:r>
          </w:p>
        </w:tc>
      </w:tr>
      <w:tr>
        <w:tc>
          <w:tcPr>
            <w:tcW w:type="dxa" w:w="1012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테스트</w:t>
            </w:r>
          </w:p>
        </w:tc>
        <w:tc>
          <w:tcPr>
            <w:tcW w:type="dxa" w:w="5396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단위 테스트·대표 Test Case 5종·화면 점검 스크립트·공격(인젝션) 점검</w:t>
            </w:r>
          </w:p>
        </w:tc>
        <w:tc>
          <w:tcPr>
            <w:tcW w:type="dxa" w:w="3457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기능은 사람이 지시하고, 화면을 직접 써 보고 테스트 결과를 확인함</w:t>
            </w:r>
          </w:p>
        </w:tc>
      </w:tr>
      <w:tr>
        <w:tc>
          <w:tcPr>
            <w:tcW w:type="dxa" w:w="1012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문서 초안</w:t>
            </w:r>
          </w:p>
        </w:tc>
        <w:tc>
          <w:tcPr>
            <w:tcW w:type="dxa" w:w="5396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README·사용설명서·개발완료보고서·기술설명서·발표자료·비즈니스모델·이 신고서의 초안</w:t>
            </w:r>
          </w:p>
        </w:tc>
        <w:tc>
          <w:tcPr>
            <w:tcW w:type="dxa" w:w="3457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사람이 읽고 고칠 곳을 지시함</w:t>
            </w:r>
          </w:p>
        </w:tc>
      </w:tr>
      <w:tr>
        <w:tc>
          <w:tcPr>
            <w:tcW w:type="dxa" w:w="1012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자료 조사 보조</w:t>
            </w:r>
          </w:p>
        </w:tc>
        <w:tc>
          <w:tcPr>
            <w:tcW w:type="dxa" w:w="5396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법령·공공 자료 검색과 요약(4-1 참고 문헌). 원문 대조 여부는 오른쪽 칸</w:t>
            </w:r>
          </w:p>
        </w:tc>
        <w:tc>
          <w:tcPr>
            <w:tcW w:type="dxa" w:w="3457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원문 PDF를 사람이 받아 대조함</w:t>
            </w:r>
          </w:p>
        </w:tc>
      </w:tr>
      <w:tr>
        <w:tc>
          <w:tcPr>
            <w:tcW w:type="dxa" w:w="1012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개발용 데이터</w:t>
            </w:r>
          </w:p>
        </w:tc>
        <w:tc>
          <w:tcPr>
            <w:tcW w:type="dxa" w:w="5396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개발용 합성 시드(seed/dev_sample.csv)·시연용 합성 시나리오</w:t>
            </w:r>
          </w:p>
        </w:tc>
        <w:tc>
          <w:tcPr>
            <w:tcW w:type="dxa" w:w="3457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합성임을 모든 문서·화면에 표시</w:t>
            </w:r>
          </w:p>
        </w:tc>
      </w:tr>
    </w:tbl>
    <w:p>
      <w:pPr>
        <w:keepNext w:val="0"/>
        <w:spacing w:before="0" w:after="0" w:line="240" w:lineRule="auto"/>
      </w:pPr>
      <w:r>
        <w:rPr>
          <w:rFonts w:ascii="맑은 고딕" w:hAnsi="맑은 고딕" w:eastAsia="맑은 고딕" w:cs="맑은 고딕"/>
          <w:b w:val="0"/>
          <w:sz w:val="12"/>
        </w:rPr>
      </w:r>
    </w:p>
    <w:p>
      <w:pPr>
        <w:keepNext w:val="0"/>
        <w:spacing w:before="0" w:after="60" w:line="276" w:lineRule="auto"/>
      </w:pPr>
      <w:r>
        <w:rPr>
          <w:rFonts w:ascii="맑은 고딕" w:hAnsi="맑은 고딕" w:eastAsia="맑은 고딕" w:cs="맑은 고딕"/>
          <w:b/>
          <w:sz w:val="20"/>
        </w:rPr>
        <w:t>B. 팀이 정한 부분</w:t>
      </w:r>
      <w:r>
        <w:rPr>
          <w:rFonts w:ascii="맑은 고딕" w:hAnsi="맑은 고딕" w:eastAsia="맑은 고딕" w:cs="맑은 고딕"/>
          <w:b w:val="0"/>
          <w:sz w:val="20"/>
        </w:rPr>
        <w:t xml:space="preserve"> — 강은진·김동우 2인이 공동으로 설계·개발·시험했다. 결정 기록은 저장소 커밋 기록(첫 커밋 2026-09-30)과 할일.md·진행현황.md에 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072"/>
            <w:shd w:val="clear" w:color="auto" w:fill="EDEDED"/>
          </w:tcPr>
          <w:p>
            <w:pPr>
              <w:keepNext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영역</w:t>
            </w:r>
          </w:p>
        </w:tc>
        <w:tc>
          <w:tcPr>
            <w:tcW w:type="dxa" w:w="6862"/>
            <w:shd w:val="clear" w:color="auto" w:fill="EDEDED"/>
          </w:tcPr>
          <w:p>
            <w:pPr>
              <w:keepNext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결정 내용 (문서에 남은 것)</w:t>
            </w:r>
          </w:p>
        </w:tc>
        <w:tc>
          <w:tcPr>
            <w:tcW w:type="dxa" w:w="1930"/>
            <w:shd w:val="clear" w:color="auto" w:fill="EDEDED"/>
          </w:tcPr>
          <w:p>
            <w:pPr>
              <w:keepNext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팀이 정했는가 · 누가</w:t>
            </w:r>
          </w:p>
        </w:tc>
      </w:tr>
      <w:tr>
        <w:tc>
          <w:tcPr>
            <w:tcW w:type="dxa" w:w="1072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문제 정의</w:t>
            </w:r>
          </w:p>
        </w:tc>
        <w:tc>
          <w:tcPr>
            <w:tcW w:type="dxa" w:w="6862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축제 민원을 </w:t>
            </w:r>
            <w:r>
              <w:rPr>
                <w:rFonts w:ascii="맑은 고딕" w:hAnsi="맑은 고딕" w:eastAsia="맑은 고딕" w:cs="맑은 고딕"/>
                <w:b/>
                <w:sz w:val="19"/>
              </w:rPr>
              <w:t>건수가 아니라 심각도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로 판단한다. 사용자는 축제 운영 주무관</w:t>
            </w:r>
          </w:p>
        </w:tc>
        <w:tc>
          <w:tcPr>
            <w:tcW w:type="dxa" w:w="1930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팀 공동 (강은진·김동우)</w:t>
            </w:r>
          </w:p>
        </w:tc>
      </w:tr>
      <w:tr>
        <w:tc>
          <w:tcPr>
            <w:tcW w:type="dxa" w:w="1072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대상·범위</w:t>
            </w:r>
          </w:p>
        </w:tc>
        <w:tc>
          <w:tcPr>
            <w:tcW w:type="dxa" w:w="6862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대상 축제 진주남강유등축제, 대회 Level 3 MVP 범위</w:t>
            </w:r>
          </w:p>
        </w:tc>
        <w:tc>
          <w:tcPr>
            <w:tcW w:type="dxa" w:w="1930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팀 공동 (강은진·김동우)</w:t>
            </w:r>
          </w:p>
        </w:tc>
      </w:tr>
      <w:tr>
        <w:tc>
          <w:tcPr>
            <w:tcW w:type="dxa" w:w="1072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판단 기준</w:t>
            </w:r>
          </w:p>
        </w:tc>
        <w:tc>
          <w:tcPr>
            <w:tcW w:type="dxa" w:w="6862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안전 민원 우선. 혼잡은 밀림·압사·위험 신호가 있을 때만 안전(D5-59). 고위험 조치(대피·통제·재난문자)는 AI 가 제안만 하고 운영자가 판단</w:t>
            </w:r>
          </w:p>
        </w:tc>
        <w:tc>
          <w:tcPr>
            <w:tcW w:type="dxa" w:w="1930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팀 공동 (강은진·김동우)</w:t>
            </w:r>
          </w:p>
        </w:tc>
      </w:tr>
      <w:tr>
        <w:tc>
          <w:tcPr>
            <w:tcW w:type="dxa" w:w="1072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규칙 결정</w:t>
            </w:r>
          </w:p>
        </w:tc>
        <w:tc>
          <w:tcPr>
            <w:tcW w:type="dxa" w:w="6862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심각도 규칙 S-01~S-06·B-01~B-04의 가중치·문턱값(설계값), 지연 판정 기준(20회 이상 측정에서 중앙값·p90 모두 10초 이하, 최댓값은 기록만)</w:t>
            </w:r>
          </w:p>
        </w:tc>
        <w:tc>
          <w:tcPr>
            <w:tcW w:type="dxa" w:w="1930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팀 공동 (강은진·김동우)</w:t>
            </w:r>
          </w:p>
        </w:tc>
      </w:tr>
      <w:tr>
        <w:tc>
          <w:tcPr>
            <w:tcW w:type="dxa" w:w="1072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데이터 결정</w:t>
            </w:r>
          </w:p>
        </w:tc>
        <w:tc>
          <w:tcPr>
            <w:tcW w:type="dxa" w:w="6862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실제 리뷰는 수집하지 않고 개발용 합성 시드를 쓴다</w:t>
            </w:r>
          </w:p>
        </w:tc>
        <w:tc>
          <w:tcPr>
            <w:tcW w:type="dxa" w:w="1930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팀 공동 (강은진·김동우)</w:t>
            </w:r>
          </w:p>
        </w:tc>
      </w:tr>
      <w:tr>
        <w:tc>
          <w:tcPr>
            <w:tcW w:type="dxa" w:w="1072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기술 결정</w:t>
            </w:r>
          </w:p>
        </w:tc>
        <w:tc>
          <w:tcPr>
            <w:tcW w:type="dxa" w:w="6862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Streamlit → 웹 + Supabase, 서버 Python → TypeScript, 분류 기본 방식 B′(prefetch)</w:t>
            </w:r>
          </w:p>
        </w:tc>
        <w:tc>
          <w:tcPr>
            <w:tcW w:type="dxa" w:w="1930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팀 공동 (강은진·김동우)</w:t>
            </w:r>
          </w:p>
        </w:tc>
      </w:tr>
      <w:tr>
        <w:tc>
          <w:tcPr>
            <w:tcW w:type="dxa" w:w="1072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디자인 지시</w:t>
            </w:r>
          </w:p>
        </w:tc>
        <w:tc>
          <w:tcPr>
            <w:tcW w:type="dxa" w:w="6862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화면 방향(관제 화면에서 점수 숨김, 색 유지)</w:t>
            </w:r>
          </w:p>
        </w:tc>
        <w:tc>
          <w:tcPr>
            <w:tcW w:type="dxa" w:w="1930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팀 공동 (강은진·김동우)</w:t>
            </w:r>
          </w:p>
        </w:tc>
      </w:tr>
      <w:tr>
        <w:tc>
          <w:tcPr>
            <w:tcW w:type="dxa" w:w="1072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안전·윤리</w:t>
            </w:r>
          </w:p>
        </w:tc>
        <w:tc>
          <w:tcPr>
            <w:tcW w:type="dxa" w:w="6862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이름·연락처 미수집, 저장 전 마스킹, 접수 원문 즉시 삭제</w:t>
            </w:r>
          </w:p>
        </w:tc>
        <w:tc>
          <w:tcPr>
            <w:tcW w:type="dxa" w:w="1930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팀 공동 (강은진·김동우)</w:t>
            </w:r>
          </w:p>
        </w:tc>
      </w:tr>
      <w:tr>
        <w:tc>
          <w:tcPr>
            <w:tcW w:type="dxa" w:w="1072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제출물</w:t>
            </w:r>
          </w:p>
        </w:tc>
        <w:tc>
          <w:tcPr>
            <w:tcW w:type="dxa" w:w="6862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문서의 최종 문장·수치 확정, 발표·시연 구성</w:t>
            </w:r>
          </w:p>
        </w:tc>
        <w:tc>
          <w:tcPr>
            <w:tcW w:type="dxa" w:w="1930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팀 공동 (강은진·김동우)</w:t>
            </w:r>
          </w:p>
        </w:tc>
      </w:tr>
    </w:tbl>
    <w:p>
      <w:pPr>
        <w:keepNext w:val="0"/>
        <w:spacing w:before="0" w:after="0" w:line="240" w:lineRule="auto"/>
      </w:pPr>
      <w:r>
        <w:rPr>
          <w:rFonts w:ascii="맑은 고딕" w:hAnsi="맑은 고딕" w:eastAsia="맑은 고딕" w:cs="맑은 고딕"/>
          <w:b w:val="0"/>
          <w:sz w:val="12"/>
        </w:rPr>
      </w:r>
    </w:p>
    <w:p>
      <w:pPr>
        <w:keepNext/>
        <w:spacing w:before="160" w:after="60" w:line="240" w:lineRule="auto"/>
      </w:pPr>
      <w:r>
        <w:rPr>
          <w:rFonts w:ascii="맑은 고딕" w:hAnsi="맑은 고딕" w:eastAsia="맑은 고딕" w:cs="맑은 고딕"/>
          <w:b/>
          <w:sz w:val="25"/>
        </w:rPr>
        <w:t>2. 오픈소스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912"/>
            <w:shd w:val="clear" w:color="auto" w:fill="EDEDED"/>
          </w:tcPr>
          <w:p>
            <w:pPr>
              <w:keepNext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이름</w:t>
            </w:r>
          </w:p>
        </w:tc>
        <w:tc>
          <w:tcPr>
            <w:tcW w:type="dxa" w:w="1835"/>
            <w:shd w:val="clear" w:color="auto" w:fill="EDEDED"/>
          </w:tcPr>
          <w:p>
            <w:pPr>
              <w:keepNext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버전</w:t>
            </w:r>
          </w:p>
        </w:tc>
        <w:tc>
          <w:tcPr>
            <w:tcW w:type="dxa" w:w="1224"/>
            <w:shd w:val="clear" w:color="auto" w:fill="EDEDED"/>
          </w:tcPr>
          <w:p>
            <w:pPr>
              <w:keepNext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라이선스</w:t>
            </w:r>
          </w:p>
        </w:tc>
        <w:tc>
          <w:tcPr>
            <w:tcW w:type="dxa" w:w="4894"/>
            <w:shd w:val="clear" w:color="auto" w:fill="EDEDED"/>
          </w:tcPr>
          <w:p>
            <w:pPr>
              <w:keepNext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용도</w:t>
            </w:r>
          </w:p>
        </w:tc>
      </w:tr>
      <w:tr>
        <w:tc>
          <w:tcPr>
            <w:tcW w:type="dxa" w:w="1912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@anthropic-ai/sdk</w:t>
            </w:r>
          </w:p>
        </w:tc>
        <w:tc>
          <w:tcPr>
            <w:tcW w:type="dxa" w:w="1835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0.60.0</w:t>
            </w:r>
          </w:p>
        </w:tc>
        <w:tc>
          <w:tcPr>
            <w:tcW w:type="dxa" w:w="1224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MIT</w:t>
            </w:r>
          </w:p>
        </w:tc>
        <w:tc>
          <w:tcPr>
            <w:tcW w:type="dxa" w:w="4894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Claude API 직접 호출 경로 (서버, 이번 제출에서는 쓰지 않음)</w:t>
            </w:r>
          </w:p>
        </w:tc>
      </w:tr>
      <w:tr>
        <w:tc>
          <w:tcPr>
            <w:tcW w:type="dxa" w:w="1912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docx</w:t>
            </w:r>
          </w:p>
        </w:tc>
        <w:tc>
          <w:tcPr>
            <w:tcW w:type="dxa" w:w="1835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9.8.1</w:t>
            </w:r>
          </w:p>
        </w:tc>
        <w:tc>
          <w:tcPr>
            <w:tcW w:type="dxa" w:w="1224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MIT</w:t>
            </w:r>
          </w:p>
        </w:tc>
        <w:tc>
          <w:tcPr>
            <w:tcW w:type="dxa" w:w="4894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조치요청서 DOCX 생성 (서버)</w:t>
            </w:r>
          </w:p>
        </w:tc>
      </w:tr>
      <w:tr>
        <w:tc>
          <w:tcPr>
            <w:tcW w:type="dxa" w:w="1912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pg</w:t>
            </w:r>
          </w:p>
        </w:tc>
        <w:tc>
          <w:tcPr>
            <w:tcW w:type="dxa" w:w="1835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8.23.1</w:t>
            </w:r>
          </w:p>
        </w:tc>
        <w:tc>
          <w:tcPr>
            <w:tcW w:type="dxa" w:w="1224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MIT</w:t>
            </w:r>
          </w:p>
        </w:tc>
        <w:tc>
          <w:tcPr>
            <w:tcW w:type="dxa" w:w="4894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워커의 Supabase Postgres 연결 (운영 구성)</w:t>
            </w:r>
          </w:p>
        </w:tc>
      </w:tr>
      <w:tr>
        <w:tc>
          <w:tcPr>
            <w:tcW w:type="dxa" w:w="1912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dotenv</w:t>
            </w:r>
          </w:p>
        </w:tc>
        <w:tc>
          <w:tcPr>
            <w:tcW w:type="dxa" w:w="1835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16.6.1</w:t>
            </w:r>
          </w:p>
        </w:tc>
        <w:tc>
          <w:tcPr>
            <w:tcW w:type="dxa" w:w="1224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BSD-2-Clause</w:t>
            </w:r>
          </w:p>
        </w:tc>
        <w:tc>
          <w:tcPr>
            <w:tcW w:type="dxa" w:w="4894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환경변수 로드 (서버)</w:t>
            </w:r>
          </w:p>
        </w:tc>
      </w:tr>
      <w:tr>
        <w:tc>
          <w:tcPr>
            <w:tcW w:type="dxa" w:w="1912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Node.js</w:t>
            </w:r>
          </w:p>
        </w:tc>
        <w:tc>
          <w:tcPr>
            <w:tcW w:type="dxa" w:w="1835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24 (개발 v24.16.0)</w:t>
            </w:r>
          </w:p>
        </w:tc>
        <w:tc>
          <w:tcPr>
            <w:tcW w:type="dxa" w:w="1224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MIT</w:t>
            </w:r>
          </w:p>
        </w:tc>
        <w:tc>
          <w:tcPr>
            <w:tcW w:type="dxa" w:w="4894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서버 실행 환경 (TypeScript 타입 제거 실행, 내장 node:sqlite·node:test)</w:t>
            </w:r>
          </w:p>
        </w:tc>
      </w:tr>
      <w:tr>
        <w:tc>
          <w:tcPr>
            <w:tcW w:type="dxa" w:w="1912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qrcode</w:t>
            </w:r>
          </w:p>
        </w:tc>
        <w:tc>
          <w:tcPr>
            <w:tcW w:type="dxa" w:w="1835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1.5.4</w:t>
            </w:r>
          </w:p>
        </w:tc>
        <w:tc>
          <w:tcPr>
            <w:tcW w:type="dxa" w:w="1224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MIT</w:t>
            </w:r>
          </w:p>
        </w:tc>
        <w:tc>
          <w:tcPr>
            <w:tcW w:type="dxa" w:w="4894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관리자 화면 'QR 만들기'의 접수 QR 생성 (웹)</w:t>
            </w:r>
          </w:p>
        </w:tc>
      </w:tr>
      <w:tr>
        <w:tc>
          <w:tcPr>
            <w:tcW w:type="dxa" w:w="1912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jsqr</w:t>
            </w:r>
          </w:p>
        </w:tc>
        <w:tc>
          <w:tcPr>
            <w:tcW w:type="dxa" w:w="1835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1.4.0</w:t>
            </w:r>
          </w:p>
        </w:tc>
        <w:tc>
          <w:tcPr>
            <w:tcW w:type="dxa" w:w="1224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Apache-2.0</w:t>
            </w:r>
          </w:p>
        </w:tc>
        <w:tc>
          <w:tcPr>
            <w:tcW w:type="dxa" w:w="4894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화면 점검에서 만든 QR 읽어 보기 (개발 의존성)</w:t>
            </w:r>
          </w:p>
        </w:tc>
      </w:tr>
      <w:tr>
        <w:tc>
          <w:tcPr>
            <w:tcW w:type="dxa" w:w="1912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@supabase/supabase-js</w:t>
            </w:r>
          </w:p>
        </w:tc>
        <w:tc>
          <w:tcPr>
            <w:tcW w:type="dxa" w:w="1835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^2.45.0</w:t>
            </w:r>
          </w:p>
        </w:tc>
        <w:tc>
          <w:tcPr>
            <w:tcW w:type="dxa" w:w="1224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MIT</w:t>
            </w:r>
          </w:p>
        </w:tc>
        <w:tc>
          <w:tcPr>
            <w:tcW w:type="dxa" w:w="4894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웹 화면 실시간 데이터</w:t>
            </w:r>
          </w:p>
        </w:tc>
      </w:tr>
      <w:tr>
        <w:tc>
          <w:tcPr>
            <w:tcW w:type="dxa" w:w="1912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TypeScript</w:t>
            </w:r>
          </w:p>
        </w:tc>
        <w:tc>
          <w:tcPr>
            <w:tcW w:type="dxa" w:w="1835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웹 ^5.5.0 · 서버 ~5.9.3</w:t>
            </w:r>
          </w:p>
        </w:tc>
        <w:tc>
          <w:tcPr>
            <w:tcW w:type="dxa" w:w="1224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Apache-2.0</w:t>
            </w:r>
          </w:p>
        </w:tc>
        <w:tc>
          <w:tcPr>
            <w:tcW w:type="dxa" w:w="4894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타입 검사 (개발 의존성) — 서버 .ts 는 Node 24 가 직접 실행</w:t>
            </w:r>
          </w:p>
        </w:tc>
      </w:tr>
      <w:tr>
        <w:tc>
          <w:tcPr>
            <w:tcW w:type="dxa" w:w="1912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Vite</w:t>
            </w:r>
          </w:p>
        </w:tc>
        <w:tc>
          <w:tcPr>
            <w:tcW w:type="dxa" w:w="1835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^5.4.0</w:t>
            </w:r>
          </w:p>
        </w:tc>
        <w:tc>
          <w:tcPr>
            <w:tcW w:type="dxa" w:w="1224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MIT</w:t>
            </w:r>
          </w:p>
        </w:tc>
        <w:tc>
          <w:tcPr>
            <w:tcW w:type="dxa" w:w="4894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웹 빌드 (개발 의존성)</w:t>
            </w:r>
          </w:p>
        </w:tc>
      </w:tr>
    </w:tbl>
    <w:p>
      <w:pPr>
        <w:keepNext w:val="0"/>
        <w:spacing w:before="0" w:after="0" w:line="240" w:lineRule="auto"/>
      </w:pPr>
      <w:r>
        <w:rPr>
          <w:rFonts w:ascii="맑은 고딕" w:hAnsi="맑은 고딕" w:eastAsia="맑은 고딕" w:cs="맑은 고딕"/>
          <w:b w:val="0"/>
          <w:sz w:val="12"/>
        </w:rPr>
      </w:r>
    </w:p>
    <w:p>
      <w:pPr>
        <w:keepNext/>
        <w:spacing w:before="160" w:after="60" w:line="240" w:lineRule="auto"/>
      </w:pPr>
      <w:r>
        <w:rPr>
          <w:rFonts w:ascii="맑은 고딕" w:hAnsi="맑은 고딕" w:eastAsia="맑은 고딕" w:cs="맑은 고딕"/>
          <w:b/>
          <w:sz w:val="25"/>
        </w:rPr>
        <w:t>3. 외부 API·서비스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476"/>
            <w:shd w:val="clear" w:color="auto" w:fill="EDEDED"/>
          </w:tcPr>
          <w:p>
            <w:pPr>
              <w:keepNext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이름</w:t>
            </w:r>
          </w:p>
        </w:tc>
        <w:tc>
          <w:tcPr>
            <w:tcW w:type="dxa" w:w="1342"/>
            <w:shd w:val="clear" w:color="auto" w:fill="EDEDED"/>
          </w:tcPr>
          <w:p>
            <w:pPr>
              <w:keepNext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제공처</w:t>
            </w:r>
          </w:p>
        </w:tc>
        <w:tc>
          <w:tcPr>
            <w:tcW w:type="dxa" w:w="2751"/>
            <w:shd w:val="clear" w:color="auto" w:fill="EDEDED"/>
          </w:tcPr>
          <w:p>
            <w:pPr>
              <w:keepNext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용도</w:t>
            </w:r>
          </w:p>
        </w:tc>
        <w:tc>
          <w:tcPr>
            <w:tcW w:type="dxa" w:w="4295"/>
            <w:shd w:val="clear" w:color="auto" w:fill="EDEDED"/>
          </w:tcPr>
          <w:p>
            <w:pPr>
              <w:keepNext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비고</w:t>
            </w:r>
          </w:p>
        </w:tc>
      </w:tr>
      <w:tr>
        <w:tc>
          <w:tcPr>
            <w:tcW w:type="dxa" w:w="1476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Claude Code CLI</w:t>
            </w:r>
          </w:p>
        </w:tc>
        <w:tc>
          <w:tcPr>
            <w:tcW w:type="dxa" w:w="1342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Anthropic</w:t>
            </w:r>
          </w:p>
        </w:tc>
        <w:tc>
          <w:tcPr>
            <w:tcW w:type="dxa" w:w="2751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에이전트 추론 (제출·시연 경로)</w:t>
            </w:r>
          </w:p>
        </w:tc>
        <w:tc>
          <w:tcPr>
            <w:tcW w:type="dxa" w:w="4295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원가 참고값: 원가측정_참고.md (CLI 경유)</w:t>
            </w:r>
          </w:p>
        </w:tc>
      </w:tr>
      <w:tr>
        <w:tc>
          <w:tcPr>
            <w:tcW w:type="dxa" w:w="1476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한국관광공사 TourAPI 4.0</w:t>
            </w:r>
          </w:p>
        </w:tc>
        <w:tc>
          <w:tcPr>
            <w:tcW w:type="dxa" w:w="1342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한국관광공사 · 공공데이터포털</w:t>
            </w:r>
          </w:p>
        </w:tc>
        <w:tc>
          <w:tcPr>
            <w:tcW w:type="dxa" w:w="2751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축제 기본정보 조회</w:t>
            </w:r>
          </w:p>
        </w:tc>
        <w:tc>
          <w:tcPr>
            <w:tcW w:type="dxa" w:w="4295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이번 제출에서 쓰지 않음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(키 미발급). 연동 코드만 있고 축제 정보는 수기 입력</w:t>
            </w:r>
          </w:p>
        </w:tc>
      </w:tr>
      <w:tr>
        <w:tc>
          <w:tcPr>
            <w:tcW w:type="dxa" w:w="1476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Supabase</w:t>
            </w:r>
          </w:p>
        </w:tc>
        <w:tc>
          <w:tcPr>
            <w:tcW w:type="dxa" w:w="1342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Supabase Inc.</w:t>
            </w:r>
          </w:p>
        </w:tc>
        <w:tc>
          <w:tcPr>
            <w:tcW w:type="dxa" w:w="2751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DB(Postgres)·실시간 구독·파일 저장(조치요청서 DOCX)</w:t>
            </w:r>
          </w:p>
        </w:tc>
        <w:tc>
          <w:tcPr>
            <w:tcW w:type="dxa" w:w="4295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2026-09-30 연결, 운영 구성. 요금제 무료(Free) · 개발·테스트는 자체 webapi.ts(SQLite) 대역</w:t>
            </w:r>
          </w:p>
        </w:tc>
      </w:tr>
    </w:tbl>
    <w:p>
      <w:pPr>
        <w:keepNext w:val="0"/>
        <w:spacing w:before="0" w:after="0" w:line="240" w:lineRule="auto"/>
      </w:pPr>
      <w:r>
        <w:rPr>
          <w:rFonts w:ascii="맑은 고딕" w:hAnsi="맑은 고딕" w:eastAsia="맑은 고딕" w:cs="맑은 고딕"/>
          <w:b w:val="0"/>
          <w:sz w:val="12"/>
        </w:rPr>
      </w:r>
    </w:p>
    <w:p>
      <w:pPr>
        <w:keepNext/>
        <w:spacing w:before="160" w:after="60" w:line="240" w:lineRule="auto"/>
      </w:pPr>
      <w:r>
        <w:rPr>
          <w:rFonts w:ascii="맑은 고딕" w:hAnsi="맑은 고딕" w:eastAsia="맑은 고딕" w:cs="맑은 고딕"/>
          <w:b/>
          <w:sz w:val="25"/>
        </w:rPr>
        <w:t>4. 데이터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265"/>
            <w:shd w:val="clear" w:color="auto" w:fill="EDEDED"/>
          </w:tcPr>
          <w:p>
            <w:pPr>
              <w:keepNext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데이터</w:t>
            </w:r>
          </w:p>
        </w:tc>
        <w:tc>
          <w:tcPr>
            <w:tcW w:type="dxa" w:w="4047"/>
            <w:shd w:val="clear" w:color="auto" w:fill="EDEDED"/>
          </w:tcPr>
          <w:p>
            <w:pPr>
              <w:keepNext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출처</w:t>
            </w:r>
          </w:p>
        </w:tc>
        <w:tc>
          <w:tcPr>
            <w:tcW w:type="dxa" w:w="506"/>
            <w:shd w:val="clear" w:color="auto" w:fill="EDEDED"/>
          </w:tcPr>
          <w:p>
            <w:pPr>
              <w:keepNext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건수</w:t>
            </w:r>
          </w:p>
        </w:tc>
        <w:tc>
          <w:tcPr>
            <w:tcW w:type="dxa" w:w="4047"/>
            <w:shd w:val="clear" w:color="auto" w:fill="EDEDED"/>
          </w:tcPr>
          <w:p>
            <w:pPr>
              <w:keepNext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비고</w:t>
            </w:r>
          </w:p>
        </w:tc>
      </w:tr>
      <w:tr>
        <w:tc>
          <w:tcPr>
            <w:tcW w:type="dxa" w:w="1265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리플레이 시드</w:t>
            </w:r>
          </w:p>
        </w:tc>
        <w:tc>
          <w:tcPr>
            <w:tcW w:type="dxa" w:w="4047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개발용 합성 데이터(seed/dev_sample.csv, 실제 인물·실제 리뷰 아님)</w:t>
            </w:r>
          </w:p>
        </w:tc>
        <w:tc>
          <w:tcPr>
            <w:tcW w:type="dxa" w:w="506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160건</w:t>
            </w:r>
          </w:p>
        </w:tc>
        <w:tc>
          <w:tcPr>
            <w:tcW w:type="dxa" w:w="4047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실제 리뷰는 수집하지 않음(팀 결정). 신청서의 "공개 리뷰 직접 수집·정제 200건"과 달라진 점은 보고서에 적음. 수집 데이터로 신고하지 않음(설명회 주의사항 13번)</w:t>
            </w:r>
          </w:p>
        </w:tc>
      </w:tr>
      <w:tr>
        <w:tc>
          <w:tcPr>
            <w:tcW w:type="dxa" w:w="1265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축제·구역 정보</w:t>
            </w:r>
          </w:p>
        </w:tc>
        <w:tc>
          <w:tcPr>
            <w:tcW w:type="dxa" w:w="4047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수기 작성 (server/core/config.ts)</w:t>
            </w:r>
          </w:p>
        </w:tc>
        <w:tc>
          <w:tcPr>
            <w:tcW w:type="dxa" w:w="506"/>
          </w:tcPr>
          <w:p>
            <w:pPr>
              <w:keepNext w:val="0"/>
              <w:spacing w:before="0" w:after="0" w:line="240" w:lineRule="auto"/>
            </w:pPr>
          </w:p>
        </w:tc>
        <w:tc>
          <w:tcPr>
            <w:tcW w:type="dxa" w:w="4047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TourAPI 미사용</w:t>
            </w:r>
          </w:p>
        </w:tc>
      </w:tr>
      <w:tr>
        <w:tc>
          <w:tcPr>
            <w:tcW w:type="dxa" w:w="1265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이태원 참사 112 신고 녹취</w:t>
            </w:r>
          </w:p>
        </w:tc>
        <w:tc>
          <w:tcPr>
            <w:tcW w:type="dxa" w:w="4047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경찰청 2022-11-01 언론 공개분. tbs·문화일보·민중의소리·프레시안 보도에서 시각·장소·발언 일부를 옮김 (seed/itaewon_112_출처.md)</w:t>
            </w:r>
          </w:p>
        </w:tc>
        <w:tc>
          <w:tcPr>
            <w:tcW w:type="dxa" w:w="506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11건</w:t>
            </w:r>
          </w:p>
        </w:tc>
        <w:tc>
          <w:tcPr>
            <w:tcW w:type="dxa" w:w="4047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시간순 재현 시험에만 사용. 신고자 신원 정보 없음</w:t>
            </w:r>
          </w:p>
        </w:tc>
      </w:tr>
      <w:tr>
        <w:tc>
          <w:tcPr>
            <w:tcW w:type="dxa" w:w="1265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QR 접수 민원</w:t>
            </w:r>
          </w:p>
        </w:tc>
        <w:tc>
          <w:tcPr>
            <w:tcW w:type="dxa" w:w="4047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서비스 이용자 직접 입력</w:t>
            </w:r>
          </w:p>
        </w:tc>
        <w:tc>
          <w:tcPr>
            <w:tcW w:type="dxa" w:w="506"/>
          </w:tcPr>
          <w:p>
            <w:pPr>
              <w:keepNext w:val="0"/>
              <w:spacing w:before="0" w:after="0" w:line="240" w:lineRule="auto"/>
            </w:pPr>
          </w:p>
        </w:tc>
        <w:tc>
          <w:tcPr>
            <w:tcW w:type="dxa" w:w="4047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마스킹 후 저장, 접수함 원문은 처리 직후 삭제</w:t>
            </w:r>
          </w:p>
        </w:tc>
      </w:tr>
    </w:tbl>
    <w:p>
      <w:pPr>
        <w:keepNext w:val="0"/>
        <w:spacing w:before="0" w:after="0" w:line="240" w:lineRule="auto"/>
      </w:pPr>
      <w:r>
        <w:rPr>
          <w:rFonts w:ascii="맑은 고딕" w:hAnsi="맑은 고딕" w:eastAsia="맑은 고딕" w:cs="맑은 고딕"/>
          <w:b w:val="0"/>
          <w:sz w:val="12"/>
        </w:rPr>
      </w:r>
    </w:p>
    <w:p>
      <w:pPr>
        <w:keepNext/>
        <w:spacing w:before="100" w:after="40" w:line="240" w:lineRule="auto"/>
      </w:pPr>
      <w:r>
        <w:rPr>
          <w:rFonts w:ascii="맑은 고딕" w:hAnsi="맑은 고딕" w:eastAsia="맑은 고딕" w:cs="맑은 고딕"/>
          <w:b/>
          <w:sz w:val="21"/>
        </w:rPr>
        <w:t>4-1. 심각도·안전 판단의 참고 문헌 (코드·데이터로 쓰지 않음, 규칙 설계의 근거로만 인용)</w:t>
      </w:r>
    </w:p>
    <w:p>
      <w:pPr>
        <w:keepNext w:val="0"/>
        <w:spacing w:before="0" w:after="60" w:line="276" w:lineRule="auto"/>
      </w:pPr>
      <w:r>
        <w:rPr>
          <w:rFonts w:ascii="맑은 고딕" w:hAnsi="맑은 고딕" w:eastAsia="맑은 고딕" w:cs="맑은 고딕"/>
          <w:b w:val="0"/>
          <w:sz w:val="20"/>
        </w:rPr>
        <w:t>보고서·발표에 인용한 것만 적습니다. 전체 목록(26건)은 이 문서 끝 '부록: 심각도 근거 자료 전체'에 있습니다.</w:t>
      </w:r>
    </w:p>
    <w:p>
      <w:pPr>
        <w:pStyle w:val="ListBullet"/>
        <w:keepNext w:val="0"/>
        <w:spacing w:before="0" w:after="20" w:line="276" w:lineRule="auto"/>
      </w:pPr>
      <w:r>
        <w:rPr>
          <w:rFonts w:ascii="맑은 고딕" w:hAnsi="맑은 고딕" w:eastAsia="맑은 고딕" w:cs="맑은 고딕"/>
          <w:b w:val="0"/>
          <w:sz w:val="20"/>
        </w:rPr>
        <w:t>원문 확인은 기준 작성 시 한 것입니다. law.go.kr 조문 페이지는 자동 도구로 다시 열 수 없어, 제출 전 사람이 한 번 더 대조합니다.</w:t>
      </w:r>
    </w:p>
    <w:p>
      <w:pPr>
        <w:pStyle w:val="ListBullet"/>
        <w:keepNext w:val="0"/>
        <w:spacing w:before="0" w:after="20" w:line="276" w:lineRule="auto"/>
      </w:pPr>
      <w:r>
        <w:rPr>
          <w:rFonts w:ascii="맑은 고딕" w:hAnsi="맑은 고딕" w:eastAsia="맑은 고딕" w:cs="맑은 고딕"/>
          <w:b w:val="0"/>
          <w:sz w:val="20"/>
        </w:rPr>
        <w:t>'원문을 못 연 것'으로 분류한 자료(문체부 공연 관객 안전 체크리스트, 감사원 이태원 감사보고서, 권익위 축제 민원 통계, 진주시 안전관리계획)는 인용하지 않았습니다.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925"/>
            <w:shd w:val="clear" w:color="auto" w:fill="EDEDED"/>
          </w:tcPr>
          <w:p>
            <w:pPr>
              <w:keepNext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자료</w:t>
            </w:r>
          </w:p>
        </w:tc>
        <w:tc>
          <w:tcPr>
            <w:tcW w:type="dxa" w:w="918"/>
            <w:shd w:val="clear" w:color="auto" w:fill="EDEDED"/>
          </w:tcPr>
          <w:p>
            <w:pPr>
              <w:keepNext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발행</w:t>
            </w:r>
          </w:p>
        </w:tc>
        <w:tc>
          <w:tcPr>
            <w:tcW w:type="dxa" w:w="2351"/>
            <w:shd w:val="clear" w:color="auto" w:fill="EDEDED"/>
          </w:tcPr>
          <w:p>
            <w:pPr>
              <w:keepNext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쓴 곳</w:t>
            </w:r>
          </w:p>
        </w:tc>
        <w:tc>
          <w:tcPr>
            <w:tcW w:type="dxa" w:w="3671"/>
            <w:shd w:val="clear" w:color="auto" w:fill="EDEDED"/>
          </w:tcPr>
          <w:p>
            <w:pPr>
              <w:keepNext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주소</w:t>
            </w:r>
          </w:p>
        </w:tc>
      </w:tr>
      <w:tr>
        <w:tc>
          <w:tcPr>
            <w:tcW w:type="dxa" w:w="2925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「재난 및 안전관리 기본법」 제3조 제1호 나목, 제66조의11 제5항</w:t>
            </w:r>
          </w:p>
        </w:tc>
        <w:tc>
          <w:tcPr>
            <w:tcW w:type="dxa" w:w="918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법률</w:t>
            </w:r>
          </w:p>
        </w:tc>
        <w:tc>
          <w:tcPr>
            <w:tcW w:type="dxa" w:w="2351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위험 신호가 있는 혼잡=안전(S-02), 경찰·소방 협조 요청</w:t>
            </w:r>
          </w:p>
        </w:tc>
        <w:tc>
          <w:tcPr>
            <w:tcW w:type="dxa" w:w="3671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https://www.law.go.kr/법령/재난및안전관리기본법</w:t>
            </w:r>
          </w:p>
        </w:tc>
      </w:tr>
      <w:tr>
        <w:tc>
          <w:tcPr>
            <w:tcW w:type="dxa" w:w="2925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「재난 및 안전관리 기본법 시행령」 제73조의9</w:t>
            </w:r>
          </w:p>
        </w:tc>
        <w:tc>
          <w:tcPr>
            <w:tcW w:type="dxa" w:w="918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대통령령</w:t>
            </w:r>
          </w:p>
        </w:tc>
        <w:tc>
          <w:tcPr>
            <w:tcW w:type="dxa" w:w="2351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유등축제가 안전관리계획 대상</w:t>
            </w:r>
          </w:p>
        </w:tc>
        <w:tc>
          <w:tcPr>
            <w:tcW w:type="dxa" w:w="3671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https://www.law.go.kr/법령/재난및안전관리기본법시행령</w:t>
            </w:r>
          </w:p>
        </w:tc>
      </w:tr>
      <w:tr>
        <w:tc>
          <w:tcPr>
            <w:tcW w:type="dxa" w:w="2925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「다중운집인파사고 안전관리 가이드라인」 (2024.9)</w:t>
            </w:r>
          </w:p>
        </w:tc>
        <w:tc>
          <w:tcPr>
            <w:tcW w:type="dxa" w:w="918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행정안전부</w:t>
            </w:r>
          </w:p>
        </w:tc>
        <w:tc>
          <w:tcPr>
            <w:tcW w:type="dxa" w:w="2351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인파 위험 3단계와 단계별 조치(S-03·S-04, 고위험 조치)</w:t>
            </w:r>
          </w:p>
        </w:tc>
        <w:tc>
          <w:tcPr>
            <w:tcW w:type="dxa" w:w="3671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https://www.mois.go.kr/frt/bbs/type001/commonSelectBoardArticle.do?bbsId=BBSMSTR_000000000015&amp;nttId=121405</w:t>
            </w:r>
          </w:p>
        </w:tc>
      </w:tr>
      <w:tr>
        <w:tc>
          <w:tcPr>
            <w:tcW w:type="dxa" w:w="2925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「지역축제장 안전관리 매뉴얼(2024)」 p.82 · p.137·154~155</w:t>
            </w:r>
          </w:p>
        </w:tc>
        <w:tc>
          <w:tcPr>
            <w:tcW w:type="dxa" w:w="918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행정안전부</w:t>
            </w:r>
          </w:p>
        </w:tc>
        <w:tc>
          <w:tcPr>
            <w:tcW w:type="dxa" w:w="2351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인파관리지원시스템 단계(급증 2배와의 대응), 부서 편성 예시</w:t>
            </w:r>
          </w:p>
        </w:tc>
        <w:tc>
          <w:tcPr>
            <w:tcW w:type="dxa" w:w="3671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https://www.mois.go.kr/frt/bbs/type001/commonSelectBoardArticle.do?bbsId=BBSMSTR_000000000015&amp;nttId=113047</w:t>
            </w:r>
          </w:p>
        </w:tc>
      </w:tr>
      <w:tr>
        <w:tc>
          <w:tcPr>
            <w:tcW w:type="dxa" w:w="2925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「29일부터 인파관리지원시스템 본격 운영」 (2023.12.27)</w:t>
            </w:r>
          </w:p>
        </w:tc>
        <w:tc>
          <w:tcPr>
            <w:tcW w:type="dxa" w:w="918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행정안전부(정책브리핑)</w:t>
            </w:r>
          </w:p>
        </w:tc>
        <w:tc>
          <w:tcPr>
            <w:tcW w:type="dxa" w:w="2351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지자체가 임계치를 현장에 맞게 설정 → 우리 값도 설계값</w:t>
            </w:r>
          </w:p>
        </w:tc>
        <w:tc>
          <w:tcPr>
            <w:tcW w:type="dxa" w:w="3671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https://www.korea.kr/news/policyNewsView.do?newsId=148924176</w:t>
            </w:r>
          </w:p>
        </w:tc>
      </w:tr>
      <w:tr>
        <w:tc>
          <w:tcPr>
            <w:tcW w:type="dxa" w:w="2925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「민원 처리에 관한 법률 시행령」 제19조</w:t>
            </w:r>
          </w:p>
        </w:tc>
        <w:tc>
          <w:tcPr>
            <w:tcW w:type="dxa" w:w="918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대통령령</w:t>
            </w:r>
          </w:p>
        </w:tc>
        <w:tc>
          <w:tcPr>
            <w:tcW w:type="dxa" w:w="2351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'즉시' 민원 3근무시간 → S-06 30분(설계값)</w:t>
            </w:r>
          </w:p>
        </w:tc>
        <w:tc>
          <w:tcPr>
            <w:tcW w:type="dxa" w:w="3671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https://www.law.go.kr/법령/민원처리에관한법률시행령</w:t>
            </w:r>
          </w:p>
        </w:tc>
      </w:tr>
      <w:tr>
        <w:tc>
          <w:tcPr>
            <w:tcW w:type="dxa" w:w="2925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「재난문자방송 기준 및 운영규정」 제9조 (행안부 예규 제361호, 2026.2.4)</w:t>
            </w:r>
          </w:p>
        </w:tc>
        <w:tc>
          <w:tcPr>
            <w:tcW w:type="dxa" w:w="918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행정안전부</w:t>
            </w:r>
          </w:p>
        </w:tc>
        <w:tc>
          <w:tcPr>
            <w:tcW w:type="dxa" w:w="2351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재난문자는 현장 판단에 따라 정해진 기관이 발송 → AI 는 제안만</w:t>
            </w:r>
          </w:p>
        </w:tc>
        <w:tc>
          <w:tcPr>
            <w:tcW w:type="dxa" w:w="3671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https://www.law.go.kr/행정규칙/재난문자방송기준및운영규정</w:t>
            </w:r>
          </w:p>
        </w:tc>
      </w:tr>
    </w:tbl>
    <w:p>
      <w:pPr>
        <w:keepNext w:val="0"/>
        <w:spacing w:before="0" w:after="0" w:line="240" w:lineRule="auto"/>
      </w:pPr>
      <w:r>
        <w:rPr>
          <w:rFonts w:ascii="맑은 고딕" w:hAnsi="맑은 고딕" w:eastAsia="맑은 고딕" w:cs="맑은 고딕"/>
          <w:b w:val="0"/>
          <w:sz w:val="12"/>
        </w:rPr>
      </w:r>
    </w:p>
    <w:p>
      <w:pPr>
        <w:keepNext/>
        <w:spacing w:before="160" w:after="60" w:line="240" w:lineRule="auto"/>
      </w:pPr>
      <w:r>
        <w:rPr>
          <w:rFonts w:ascii="맑은 고딕" w:hAnsi="맑은 고딕" w:eastAsia="맑은 고딕" w:cs="맑은 고딕"/>
          <w:b/>
          <w:sz w:val="25"/>
        </w:rPr>
        <w:t>5. 기존 자산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258"/>
            <w:shd w:val="clear" w:color="auto" w:fill="EDEDED"/>
          </w:tcPr>
          <w:p>
            <w:pPr>
              <w:keepNext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항목</w:t>
            </w:r>
          </w:p>
        </w:tc>
        <w:tc>
          <w:tcPr>
            <w:tcW w:type="dxa" w:w="7606"/>
            <w:shd w:val="clear" w:color="auto" w:fill="EDEDED"/>
          </w:tcPr>
          <w:p>
            <w:pPr>
              <w:keepNext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내용</w:t>
            </w:r>
          </w:p>
        </w:tc>
      </w:tr>
      <w:tr>
        <w:tc>
          <w:tcPr>
            <w:tcW w:type="dxa" w:w="2258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대회 이전에 만든 코드·자료</w:t>
            </w:r>
          </w:p>
        </w:tc>
        <w:tc>
          <w:tcPr>
            <w:tcW w:type="dxa" w:w="7606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자체 기존 코드 없음. 외부 기존자산: 오픈소스(2절), AI 모델 Claude(Anthropic), 공개자료(행정안전부 지역축제장 안전관리 매뉴얼·다중운집인파사고 안전관리 가이드라인, 이태원 112 공개 녹취)</w:t>
            </w:r>
          </w:p>
        </w:tc>
      </w:tr>
      <w:tr>
        <w:tc>
          <w:tcPr>
            <w:tcW w:type="dxa" w:w="2258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대회 기간 신규 개발</w:t>
            </w:r>
          </w:p>
        </w:tc>
        <w:tc>
          <w:tcPr>
            <w:tcW w:type="dxa" w:w="7606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대회 기간(2026-09-29~10-06)에 새로 만든 산출물. 팀이 설계·지시·검토하고 Claude Code 로 작성했다.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1) 에이전트 5종과 실행 루프·작업 큐(프레임워크 없이 직접 구현), 실시간/배후 2경로 구조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2) 결정적 심각도 함수(규칙 6종·경계 규칙 4종, 계산식 노출)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3) 계획(주기마다 돌릴 단계·창 결정)과 기억(비슷한 과거 사례)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4) 관제 조치 카드와 AI 문구 검사, 확인 필요 처리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5) 개인정보 마스킹·프롬프트 인젝션 탐지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6) 부서 매핑과 조치요청서 DOCX 생성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7) 리플레이 엔진, 개발용 합성 시드, 시연용 합성 시나리오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8) 평가·측정 도구(정확도·지연·원가 측정, 문서 숫자 동기화)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9) 웹 앱(접수·관제·조치·QR 만들기·AI 동작 보기), Supabase 연동과 local 대역 API</w:t>
            </w:r>
          </w:p>
        </w:tc>
      </w:tr>
    </w:tbl>
    <w:p>
      <w:pPr>
        <w:keepNext w:val="0"/>
        <w:spacing w:before="0" w:after="0" w:line="240" w:lineRule="auto"/>
      </w:pPr>
      <w:r>
        <w:rPr>
          <w:rFonts w:ascii="맑은 고딕" w:hAnsi="맑은 고딕" w:eastAsia="맑은 고딕" w:cs="맑은 고딕"/>
          <w:b w:val="0"/>
          <w:sz w:val="12"/>
        </w:rPr>
      </w:r>
    </w:p>
    <w:p>
      <w:pPr>
        <w:keepNext/>
        <w:spacing w:before="160" w:after="60" w:line="240" w:lineRule="auto"/>
      </w:pPr>
      <w:r>
        <w:rPr>
          <w:rFonts w:ascii="맑은 고딕" w:hAnsi="맑은 고딕" w:eastAsia="맑은 고딕" w:cs="맑은 고딕"/>
          <w:b/>
          <w:sz w:val="25"/>
        </w:rPr>
        <w:t>부록: 심각도 근거 자료 전체</w:t>
      </w:r>
    </w:p>
    <w:p>
      <w:pPr>
        <w:keepNext w:val="0"/>
        <w:spacing w:before="0" w:after="60" w:line="276" w:lineRule="auto"/>
      </w:pPr>
      <w:r>
        <w:rPr>
          <w:rFonts w:ascii="맑은 고딕" w:hAnsi="맑은 고딕" w:eastAsia="맑은 고딕" w:cs="맑은 고딕"/>
          <w:b w:val="0"/>
          <w:sz w:val="20"/>
        </w:rPr>
        <w:t xml:space="preserve">  1. 행정안전부「다중운집인파사고 안전관리 가이드라인」(2024.9): 인파 위험 3단계와 단계별 조치 (5·7·8절). 행안부 게시 https://www.mois.go.kr/frt/bbs/type001/commonSelectBoardArticle.do?bbsId=BBSMSTR_000000000015&amp;nttId=121405</w:t>
      </w:r>
    </w:p>
    <w:p>
      <w:pPr>
        <w:keepNext w:val="0"/>
        <w:spacing w:before="0" w:after="60" w:line="276" w:lineRule="auto"/>
      </w:pPr>
      <w:r>
        <w:rPr>
          <w:rFonts w:ascii="맑은 고딕" w:hAnsi="맑은 고딕" w:eastAsia="맑은 고딕" w:cs="맑은 고딕"/>
          <w:b w:val="0"/>
          <w:sz w:val="20"/>
        </w:rPr>
        <w:t xml:space="preserve">  2. 행정안전부「지역축제장 안전관리 매뉴얼(2024)」(2024.10, 재난안전법 제66조의11): 위험 유형·조치·사고 대응 (1·5·7·8절. 원문 p.52~57 사고 대응, p.70~83 인파, p.89~101 장소·수상, p.123~126 야간·기타를 대조함) https://www.mois.go.kr/frt/bbs/type001/commonSelectBoardArticle.do?bbsId=BBSMSTR_000000000015&amp;nttId=113047</w:t>
      </w:r>
    </w:p>
    <w:p>
      <w:pPr>
        <w:keepNext w:val="0"/>
        <w:spacing w:before="0" w:after="60" w:line="276" w:lineRule="auto"/>
      </w:pPr>
      <w:r>
        <w:rPr>
          <w:rFonts w:ascii="맑은 고딕" w:hAnsi="맑은 고딕" w:eastAsia="맑은 고딕" w:cs="맑은 고딕"/>
          <w:b w:val="0"/>
          <w:sz w:val="20"/>
        </w:rPr>
        <w:t xml:space="preserve">  3. 소방청「다중 밀집 지역 인파사고 예방법」(2024.12): 군중 쏠림·압착 징후 (1절 혼잡 정의) https://www.korea.kr/news/policyNewsView.do?newsId=148938050</w:t>
      </w:r>
    </w:p>
    <w:p>
      <w:pPr>
        <w:keepNext w:val="0"/>
        <w:spacing w:before="0" w:after="60" w:line="276" w:lineRule="auto"/>
      </w:pPr>
      <w:r>
        <w:rPr>
          <w:rFonts w:ascii="맑은 고딕" w:hAnsi="맑은 고딕" w:eastAsia="맑은 고딕" w:cs="맑은 고딕"/>
          <w:b w:val="0"/>
          <w:sz w:val="20"/>
        </w:rPr>
        <w:t xml:space="preserve">  4. 진주남강유등축제 공식 누리집: 일정·행사배치도 (3절) https://yudeung.com/sub2_3</w:t>
      </w:r>
    </w:p>
    <w:p>
      <w:pPr>
        <w:keepNext w:val="0"/>
        <w:spacing w:before="0" w:after="60" w:line="276" w:lineRule="auto"/>
      </w:pPr>
      <w:r>
        <w:rPr>
          <w:rFonts w:ascii="맑은 고딕" w:hAnsi="맑은 고딕" w:eastAsia="맑은 고딕" w:cs="맑은 고딕"/>
          <w:b w:val="0"/>
          <w:sz w:val="20"/>
        </w:rPr>
        <w:t xml:space="preserve">  5. 「지역축제장 안전관리 매뉴얼(2024)」 부록 4 안전관리 체크리스트 (p.144~149): 전기·가스·시설·소방·진행 중 점검 항목 (1·5·7절)</w:t>
      </w:r>
    </w:p>
    <w:p>
      <w:pPr>
        <w:keepNext w:val="0"/>
        <w:spacing w:before="0" w:after="60" w:line="276" w:lineRule="auto"/>
      </w:pPr>
      <w:r>
        <w:rPr>
          <w:rFonts w:ascii="맑은 고딕" w:hAnsi="맑은 고딕" w:eastAsia="맑은 고딕" w:cs="맑은 고딕"/>
          <w:b w:val="0"/>
          <w:sz w:val="20"/>
        </w:rPr>
        <w:t xml:space="preserve">  6. 「재난 및 안전관리 기본법 시행령」 제73조의9: 안전관리계획 수립 대상 (5절, 매뉴얼 p.12 수록 원문으로 확인)</w:t>
      </w:r>
    </w:p>
    <w:p>
      <w:pPr>
        <w:keepNext w:val="0"/>
        <w:spacing w:before="0" w:after="60" w:line="276" w:lineRule="auto"/>
      </w:pPr>
      <w:r>
        <w:rPr>
          <w:rFonts w:ascii="맑은 고딕" w:hAnsi="맑은 고딕" w:eastAsia="맑은 고딕" w:cs="맑은 고딕"/>
          <w:b w:val="0"/>
          <w:sz w:val="20"/>
        </w:rPr>
        <w:t xml:space="preserve">  7. 진주남강유등축제 공식 누리집 프로그램 안내: 부교(사랑다리 건너기) (3절) https://yudeung.com/program/festival</w:t>
      </w:r>
    </w:p>
    <w:p>
      <w:pPr>
        <w:keepNext w:val="0"/>
        <w:spacing w:before="0" w:after="60" w:line="276" w:lineRule="auto"/>
      </w:pPr>
      <w:r>
        <w:rPr>
          <w:rFonts w:ascii="맑은 고딕" w:hAnsi="맑은 고딕" w:eastAsia="맑은 고딕" w:cs="맑은 고딕"/>
          <w:b w:val="0"/>
          <w:sz w:val="20"/>
        </w:rPr>
        <w:t xml:space="preserve">  8. 「재난 및 안전관리 기본법」 제3조 제1호 나목: 다중운집인파사고를 사회재난에 포함 (1절, 인파 가이드라인 p.1 인용으로 확인)</w:t>
      </w:r>
    </w:p>
    <w:p>
      <w:pPr>
        <w:keepNext w:val="0"/>
        <w:spacing w:before="0" w:after="60" w:line="276" w:lineRule="auto"/>
      </w:pPr>
      <w:r>
        <w:rPr>
          <w:rFonts w:ascii="맑은 고딕" w:hAnsi="맑은 고딕" w:eastAsia="맑은 고딕" w:cs="맑은 고딕"/>
          <w:b w:val="0"/>
          <w:sz w:val="20"/>
        </w:rPr>
        <w:t xml:space="preserve">  9. 「재난문자방송 기준 및 운영규정」 별표 1 재난문자방송 발송기준(제12조 관련): 사회재난 발송 대상 (8절) https://www.law.go.kr/LSW/admRulLsInfoP.do?admRulSeq=2100000232288</w:t>
      </w:r>
    </w:p>
    <w:p>
      <w:pPr>
        <w:keepNext w:val="0"/>
        <w:spacing w:before="0" w:after="60" w:line="276" w:lineRule="auto"/>
      </w:pPr>
      <w:r>
        <w:rPr>
          <w:rFonts w:ascii="맑은 고딕" w:hAnsi="맑은 고딕" w:eastAsia="맑은 고딕" w:cs="맑은 고딕"/>
          <w:b w:val="0"/>
          <w:sz w:val="20"/>
        </w:rPr>
        <w:t xml:space="preserve">  10. 「민원 처리에 관한 법률 시행령」 제19조(처리기간의 계산), 제16조 (5절 S-06) https://www.law.go.kr/법령/민원처리에관한법률시행령</w:t>
      </w:r>
    </w:p>
    <w:p>
      <w:pPr>
        <w:keepNext w:val="0"/>
        <w:spacing w:before="0" w:after="60" w:line="276" w:lineRule="auto"/>
      </w:pPr>
      <w:r>
        <w:rPr>
          <w:rFonts w:ascii="맑은 고딕" w:hAnsi="맑은 고딕" w:eastAsia="맑은 고딕" w:cs="맑은 고딕"/>
          <w:b w:val="0"/>
          <w:sz w:val="20"/>
        </w:rPr>
        <w:t xml:space="preserve">  11. 「재난 및 안전관리 기본법」 제66조의11 제5항·제6항 (2023.12.26 개정) (8절) https://www.law.go.kr/법령/재난및안전관리기본법</w:t>
      </w:r>
    </w:p>
    <w:p>
      <w:pPr>
        <w:keepNext w:val="0"/>
        <w:spacing w:before="0" w:after="60" w:line="276" w:lineRule="auto"/>
      </w:pPr>
      <w:r>
        <w:rPr>
          <w:rFonts w:ascii="맑은 고딕" w:hAnsi="맑은 고딕" w:eastAsia="맑은 고딕" w:cs="맑은 고딕"/>
          <w:b w:val="0"/>
          <w:sz w:val="20"/>
        </w:rPr>
        <w:t xml:space="preserve">  12. 「재난 및 안전관리 기본법 시행령」 제73조의9 제2항 (5절) https://www.law.go.kr/법령/재난및안전관리기본법시행령</w:t>
      </w:r>
    </w:p>
    <w:p>
      <w:pPr>
        <w:keepNext w:val="0"/>
        <w:spacing w:before="0" w:after="60" w:line="276" w:lineRule="auto"/>
      </w:pPr>
      <w:r>
        <w:rPr>
          <w:rFonts w:ascii="맑은 고딕" w:hAnsi="맑은 고딕" w:eastAsia="맑은 고딕" w:cs="맑은 고딕"/>
          <w:b w:val="0"/>
          <w:sz w:val="20"/>
        </w:rPr>
        <w:t xml:space="preserve">  13. 「재난문자방송 기준 및 운영규정」 제9조 (행안부 예규 제361호, 2026.2.4) (8절) https://www.law.go.kr/행정규칙/재난문자방송기준및운영규정</w:t>
      </w:r>
    </w:p>
    <w:p>
      <w:pPr>
        <w:keepNext w:val="0"/>
        <w:spacing w:before="0" w:after="60" w:line="276" w:lineRule="auto"/>
      </w:pPr>
      <w:r>
        <w:rPr>
          <w:rFonts w:ascii="맑은 고딕" w:hAnsi="맑은 고딕" w:eastAsia="맑은 고딕" w:cs="맑은 고딕"/>
          <w:b w:val="0"/>
          <w:sz w:val="20"/>
        </w:rPr>
        <w:t xml:space="preserve">  14. 식품위생법 시행규칙 별표 17 제7호 아목 (1·7절) https://www.law.go.kr/법령/식품위생법시행규칙</w:t>
      </w:r>
    </w:p>
    <w:p>
      <w:pPr>
        <w:keepNext w:val="0"/>
        <w:spacing w:before="0" w:after="60" w:line="276" w:lineRule="auto"/>
      </w:pPr>
      <w:r>
        <w:rPr>
          <w:rFonts w:ascii="맑은 고딕" w:hAnsi="맑은 고딕" w:eastAsia="맑은 고딕" w:cs="맑은 고딕"/>
          <w:b w:val="0"/>
          <w:sz w:val="20"/>
        </w:rPr>
        <w:t xml:space="preserve">  15. 공중화장실 등에 관한 법률 제2조·제10조 (1·7절) https://www.law.go.kr/법령/공중화장실등에관한법률</w:t>
      </w:r>
    </w:p>
    <w:p>
      <w:pPr>
        <w:keepNext w:val="0"/>
        <w:spacing w:before="0" w:after="60" w:line="276" w:lineRule="auto"/>
      </w:pPr>
      <w:r>
        <w:rPr>
          <w:rFonts w:ascii="맑은 고딕" w:hAnsi="맑은 고딕" w:eastAsia="맑은 고딕" w:cs="맑은 고딕"/>
          <w:b w:val="0"/>
          <w:sz w:val="20"/>
        </w:rPr>
        <w:t xml:space="preserve">  16. 진주시 옥외행사의 안전관리에 관한 조례 (2022.12.19) (1절) https://www.law.go.kr/LSW/ordinInfoP.do?ordinSeq=1758879</w:t>
      </w:r>
    </w:p>
    <w:p>
      <w:pPr>
        <w:keepNext w:val="0"/>
        <w:spacing w:before="0" w:after="60" w:line="276" w:lineRule="auto"/>
      </w:pPr>
      <w:r>
        <w:rPr>
          <w:rFonts w:ascii="맑은 고딕" w:hAnsi="맑은 고딕" w:eastAsia="맑은 고딕" w:cs="맑은 고딕"/>
          <w:b w:val="0"/>
          <w:sz w:val="20"/>
        </w:rPr>
        <w:t xml:space="preserve">  17. 진주시 축제 지원 조례 (2023.5.15): 제2조에 진주남강유등축제 명시, 제5조 셔틀버스 (7절) https://www.law.go.kr/LSW/ordinInfoP.do?ordinSeq=1809343</w:t>
      </w:r>
    </w:p>
    <w:p>
      <w:pPr>
        <w:keepNext w:val="0"/>
        <w:spacing w:before="0" w:after="60" w:line="276" w:lineRule="auto"/>
      </w:pPr>
      <w:r>
        <w:rPr>
          <w:rFonts w:ascii="맑은 고딕" w:hAnsi="맑은 고딕" w:eastAsia="맑은 고딕" w:cs="맑은 고딕"/>
          <w:b w:val="0"/>
          <w:sz w:val="20"/>
        </w:rPr>
        <w:t xml:space="preserve">  18. 진주시 공중화장실 등 설치 및 관리에 관한 조례 제16조 (2024.11.11) (7절) https://www.law.go.kr/LSW/ordinInfoP.do?ordinSeq=1984247</w:t>
      </w:r>
    </w:p>
    <w:p>
      <w:pPr>
        <w:keepNext w:val="0"/>
        <w:spacing w:before="0" w:after="60" w:line="276" w:lineRule="auto"/>
      </w:pPr>
      <w:r>
        <w:rPr>
          <w:rFonts w:ascii="맑은 고딕" w:hAnsi="맑은 고딕" w:eastAsia="맑은 고딕" w:cs="맑은 고딕"/>
          <w:b w:val="0"/>
          <w:sz w:val="20"/>
        </w:rPr>
        <w:t xml:space="preserve">  19. 행안부 보도자료 「바가지요금 없는 지역축제 위해 지역 책임관 지정해 현장점검」 (2024.3.6) (1·7절) https://www.mois.go.kr/frt/bbs/type010/commonSelectBoardArticle.do?bbsId=BBSMSTR_000000000008&amp;nttId=107570</w:t>
      </w:r>
    </w:p>
    <w:p>
      <w:pPr>
        <w:keepNext w:val="0"/>
        <w:spacing w:before="0" w:after="60" w:line="276" w:lineRule="auto"/>
      </w:pPr>
      <w:r>
        <w:rPr>
          <w:rFonts w:ascii="맑은 고딕" w:hAnsi="맑은 고딕" w:eastAsia="맑은 고딕" w:cs="맑은 고딕"/>
          <w:b w:val="0"/>
          <w:sz w:val="20"/>
        </w:rPr>
        <w:t xml:space="preserve">  20. 국무조정실 「인파사고 재발방지대책」 (2023.3.28, 제105차 중앙안전관리위원회) (5절) https://www.opm.go.kr/opm/news/press-release.do?mode=download&amp;articleNo=153033&amp;attachNo=132874</w:t>
      </w:r>
    </w:p>
    <w:p>
      <w:pPr>
        <w:keepNext w:val="0"/>
        <w:spacing w:before="0" w:after="60" w:line="276" w:lineRule="auto"/>
      </w:pPr>
      <w:r>
        <w:rPr>
          <w:rFonts w:ascii="맑은 고딕" w:hAnsi="맑은 고딕" w:eastAsia="맑은 고딕" w:cs="맑은 고딕"/>
          <w:b w:val="0"/>
          <w:sz w:val="20"/>
        </w:rPr>
        <w:t xml:space="preserve">  21. 행안부 「29일부터 인파관리지원시스템 본격 운영」 (2023.12.27) (5절) https://www.korea.kr/news/policyNewsView.do?newsId=148924176</w:t>
      </w:r>
    </w:p>
    <w:p>
      <w:pPr>
        <w:keepNext w:val="0"/>
        <w:spacing w:before="0" w:after="60" w:line="276" w:lineRule="auto"/>
      </w:pPr>
      <w:r>
        <w:rPr>
          <w:rFonts w:ascii="맑은 고딕" w:hAnsi="맑은 고딕" w:eastAsia="맑은 고딕" w:cs="맑은 고딕"/>
          <w:b w:val="0"/>
          <w:sz w:val="20"/>
        </w:rPr>
        <w:t xml:space="preserve">  22. 행안부 「인파사고 재난 위기 유형에 대규모 공연 등 감시목록 추가」 (2023.4.24) (8절) https://www.korea.kr/news/policyNewsView.do?newsId=148914171</w:t>
      </w:r>
    </w:p>
    <w:p>
      <w:pPr>
        <w:keepNext w:val="0"/>
        <w:spacing w:before="0" w:after="60" w:line="276" w:lineRule="auto"/>
      </w:pPr>
      <w:r>
        <w:rPr>
          <w:rFonts w:ascii="맑은 고딕" w:hAnsi="맑은 고딕" w:eastAsia="맑은 고딕" w:cs="맑은 고딕"/>
          <w:b w:val="0"/>
          <w:sz w:val="20"/>
        </w:rPr>
        <w:t xml:space="preserve">  23. 행안부 「가을철 인파사고 위험요소 사전 제거」 (2025.9.10) (5절) https://www.korea.kr/news/policyNewsView.do?newsId=148949008</w:t>
      </w:r>
    </w:p>
    <w:p>
      <w:pPr>
        <w:keepNext w:val="0"/>
        <w:spacing w:before="0" w:after="60" w:line="276" w:lineRule="auto"/>
      </w:pPr>
      <w:r>
        <w:rPr>
          <w:rFonts w:ascii="맑은 고딕" w:hAnsi="맑은 고딕" w:eastAsia="맑은 고딕" w:cs="맑은 고딕"/>
          <w:b w:val="0"/>
          <w:sz w:val="20"/>
        </w:rPr>
        <w:t xml:space="preserve">  24. 행안부 등 「BTS 컴백공연 안전 총력」 합동점검 (2026.3.20) (7절) https://www.korea.kr/news/policyNewsView.do?newsId=148961193</w:t>
      </w:r>
    </w:p>
    <w:p>
      <w:pPr>
        <w:keepNext w:val="0"/>
        <w:spacing w:before="0" w:after="60" w:line="276" w:lineRule="auto"/>
      </w:pPr>
      <w:r>
        <w:rPr>
          <w:rFonts w:ascii="맑은 고딕" w:hAnsi="맑은 고딕" w:eastAsia="맑은 고딕" w:cs="맑은 고딕"/>
          <w:b w:val="0"/>
          <w:sz w:val="20"/>
        </w:rPr>
        <w:t xml:space="preserve">  25. 행안부 다중운집인파 안전관리 업무안내 (1절) https://www.mois.go.kr/frt/sub/a06/b13/crowdSafety/screen.do</w:t>
      </w:r>
    </w:p>
    <w:p>
      <w:pPr>
        <w:keepNext w:val="0"/>
        <w:spacing w:before="0" w:after="60" w:line="276" w:lineRule="auto"/>
      </w:pPr>
      <w:r>
        <w:rPr>
          <w:rFonts w:ascii="맑은 고딕" w:hAnsi="맑은 고딕" w:eastAsia="맑은 고딕" w:cs="맑은 고딕"/>
          <w:b w:val="0"/>
          <w:sz w:val="20"/>
        </w:rPr>
        <w:t xml:space="preserve">  26. 진주환경운동연합·진주공익감시단 2025 유등축제 모니터링 보도 (2025.10.23) (1절 실제 민원 예시) https://v.daum.net/v/20251023102823029</w:t>
      </w:r>
    </w:p>
    <w:p>
      <w:pPr>
        <w:keepNext w:val="0"/>
        <w:spacing w:before="0" w:after="60" w:line="276" w:lineRule="auto"/>
      </w:pPr>
      <w:r>
        <w:rPr>
          <w:rFonts w:ascii="맑은 고딕" w:hAnsi="맑은 고딕" w:eastAsia="맑은 고딕" w:cs="맑은 고딕"/>
          <w:b w:val="0"/>
          <w:sz w:val="20"/>
        </w:rPr>
        <w:t xml:space="preserve">  - 찾았지만 원문을 못 연 것: 문체부 「공연 관객 안전관리 체크리스트」, 감사원 이태원 감사보고서 원문, 권익위 축제 민원 통계, 진주시 안전관리계획 원문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