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 w:line="276" w:lineRule="auto"/>
        <w:jc w:val="center"/>
      </w:pPr>
      <w:r>
        <w:rPr>
          <w:rFonts w:ascii="맑은 고딕" w:hAnsi="맑은 고딕" w:eastAsia="맑은 고딕" w:cs="맑은 고딕"/>
          <w:b/>
          <w:sz w:val="26"/>
        </w:rPr>
        <w:t>출처·AI 활용 신고서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>팀명 철철철 · 작품명 실시간 축제 민원 관제 AI Agent · 저장소 https://github.com/INJE-NULLPOINT/festival-complaint-agent (공개 저장소)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>운영규정(출처·AI 활용 신고)과 서류평가 체크리스트 12번에 따라 주요 AI 도구, 공개 코드, 모델, 데이터, 외부 API, 기존자산의 출처와 신규개발분을 적는다. 오픈소스 버전은 2026-10-01 설치본 기준이다.</w:t>
      </w:r>
    </w:p>
    <w:p>
      <w:pPr>
        <w:keepNext/>
        <w:spacing w:before="160" w:after="60" w:line="240" w:lineRule="auto"/>
      </w:pPr>
      <w:r>
        <w:rPr>
          <w:rFonts w:ascii="맑은 고딕" w:hAnsi="맑은 고딕" w:eastAsia="맑은 고딕" w:cs="맑은 고딕"/>
          <w:b/>
          <w:sz w:val="25"/>
        </w:rPr>
        <w:t>1. AI 도구 활용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038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구분</w:t>
            </w:r>
          </w:p>
        </w:tc>
        <w:tc>
          <w:tcPr>
            <w:tcW w:type="dxa" w:w="3323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도구</w:t>
            </w:r>
          </w:p>
        </w:tc>
        <w:tc>
          <w:tcPr>
            <w:tcW w:type="dxa" w:w="3063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용도</w:t>
            </w:r>
          </w:p>
        </w:tc>
        <w:tc>
          <w:tcPr>
            <w:tcW w:type="dxa" w:w="2440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활용 범위</w:t>
            </w:r>
          </w:p>
        </w:tc>
      </w:tr>
      <w:tr>
        <w:tc>
          <w:tcPr>
            <w:tcW w:type="dxa" w:w="103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개발 보조</w:t>
            </w:r>
          </w:p>
        </w:tc>
        <w:tc>
          <w:tcPr>
            <w:tcW w:type="dxa" w:w="3323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Claude Code (Anthropic)</w:t>
            </w:r>
          </w:p>
        </w:tc>
        <w:tc>
          <w:tcPr>
            <w:tcW w:type="dxa" w:w="3063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코드·문서 작성 보조(디버깅·테스트·자료 조사 포함)</w:t>
            </w:r>
          </w:p>
        </w:tc>
        <w:tc>
          <w:tcPr>
            <w:tcW w:type="dxa" w:w="244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아래 1-1 표로 'AI가 만든 부분'과 '팀이 정한 부분'을 나눠 적음</w:t>
            </w:r>
          </w:p>
        </w:tc>
      </w:tr>
      <w:tr>
        <w:tc>
          <w:tcPr>
            <w:tcW w:type="dxa" w:w="103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에이전트 모델 (제출·시연)</w:t>
            </w:r>
          </w:p>
        </w:tc>
        <w:tc>
          <w:tcPr>
            <w:tcW w:type="dxa" w:w="3323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Claude Opus 5.5 (claude-opus-5-5), Claude Code CLI(claude -p, LLM_BACKEND=claude_code) 경유</w:t>
            </w:r>
          </w:p>
        </w:tc>
        <w:tc>
          <w:tcPr>
            <w:tcW w:type="dxa" w:w="3063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에이전트 5종의 판단(주기 계획, 민원 분류, 인용 선별, 우선순위 조정, 브리핑·조치요청서 문장)</w:t>
            </w:r>
          </w:p>
        </w:tc>
        <w:tc>
          <w:tcPr>
            <w:tcW w:type="dxa" w:w="244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점수·등급·순위 계산에는 쓰지 않음(결정적 함수). API 키 없이 제출·시연</w:t>
            </w:r>
          </w:p>
        </w:tc>
      </w:tr>
      <w:tr>
        <w:tc>
          <w:tcPr>
            <w:tcW w:type="dxa" w:w="103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Claude API 직접 호출</w:t>
            </w:r>
          </w:p>
        </w:tc>
        <w:tc>
          <w:tcPr>
            <w:tcW w:type="dxa" w:w="3323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Anthropic API (LLM_BACKEND=anthropic)</w:t>
            </w:r>
          </w:p>
        </w:tc>
        <w:tc>
          <w:tcPr>
            <w:tcW w:type="dxa" w:w="3063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같은 판단을 API로 호출하는 경로</w:t>
            </w:r>
          </w:p>
        </w:tc>
        <w:tc>
          <w:tcPr>
            <w:tcW w:type="dxa" w:w="244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코드에 있으나 이번 제출에서는 쓰지 않음</w:t>
            </w:r>
          </w:p>
        </w:tc>
      </w:tr>
      <w:tr>
        <w:tc>
          <w:tcPr>
            <w:tcW w:type="dxa" w:w="103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그 외 AI 도구</w:t>
            </w:r>
          </w:p>
        </w:tc>
        <w:tc>
          <w:tcPr>
            <w:tcW w:type="dxa" w:w="3323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없음</w:t>
            </w:r>
          </w:p>
        </w:tc>
        <w:tc>
          <w:tcPr>
            <w:tcW w:type="dxa" w:w="3063"/>
          </w:tcPr>
          <w:p>
            <w:pPr>
              <w:keepNext w:val="0"/>
              <w:spacing w:before="0" w:after="0" w:line="240" w:lineRule="auto"/>
            </w:pPr>
          </w:p>
        </w:tc>
        <w:tc>
          <w:tcPr>
            <w:tcW w:type="dxa" w:w="2440"/>
          </w:tcPr>
          <w:p>
            <w:pPr>
              <w:keepNext w:val="0"/>
              <w:spacing w:before="0" w:after="0" w:line="240" w:lineRule="auto"/>
            </w:pP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/>
        <w:spacing w:before="100" w:after="40" w:line="240" w:lineRule="auto"/>
      </w:pPr>
      <w:r>
        <w:rPr>
          <w:rFonts w:ascii="맑은 고딕" w:hAnsi="맑은 고딕" w:eastAsia="맑은 고딕" w:cs="맑은 고딕"/>
          <w:b/>
          <w:sz w:val="21"/>
        </w:rPr>
        <w:t>1-1. AI 도구가 만든 부분과 팀이 정한 부분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/>
          <w:sz w:val="20"/>
        </w:rPr>
        <w:t>A. AI 도구(Claude Code)가 만든 부분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048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영역</w:t>
            </w:r>
          </w:p>
        </w:tc>
        <w:tc>
          <w:tcPr>
            <w:tcW w:type="dxa" w:w="5238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만든 것</w:t>
            </w:r>
          </w:p>
        </w:tc>
        <w:tc>
          <w:tcPr>
            <w:tcW w:type="dxa" w:w="3579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사람 검토 방식</w:t>
            </w:r>
          </w:p>
        </w:tc>
      </w:tr>
      <w:tr>
        <w:tc>
          <w:tcPr>
            <w:tcW w:type="dxa" w:w="104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서버 코드</w:t>
            </w:r>
          </w:p>
        </w:tc>
        <w:tc>
          <w:tcPr>
            <w:tcW w:type="dxa" w:w="523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에이전트 5종·도구·작업 큐·심각도 함수·DB 계층·웹 API (TypeScript)</w:t>
            </w:r>
          </w:p>
        </w:tc>
        <w:tc>
          <w:tcPr>
            <w:tcW w:type="dxa" w:w="357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기능은 사람이 지시하고, 화면을 직접 써 보고 테스트 결과를 확인함</w:t>
            </w:r>
          </w:p>
        </w:tc>
      </w:tr>
      <w:tr>
        <w:tc>
          <w:tcPr>
            <w:tcW w:type="dxa" w:w="104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웹 화면 코드</w:t>
            </w:r>
          </w:p>
        </w:tc>
        <w:tc>
          <w:tcPr>
            <w:tcW w:type="dxa" w:w="523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방문객 접수·관제·조치·QR 만들기·AI 동작 보기 화면 (Vite + TypeScript, CSS)</w:t>
            </w:r>
          </w:p>
        </w:tc>
        <w:tc>
          <w:tcPr>
            <w:tcW w:type="dxa" w:w="357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기능은 사람이 지시하고, 화면을 직접 써 보고 테스트 결과를 확인함</w:t>
            </w:r>
          </w:p>
        </w:tc>
      </w:tr>
      <w:tr>
        <w:tc>
          <w:tcPr>
            <w:tcW w:type="dxa" w:w="104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테스트</w:t>
            </w:r>
          </w:p>
        </w:tc>
        <w:tc>
          <w:tcPr>
            <w:tcW w:type="dxa" w:w="523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단위 테스트·대표 Test Case 5종·화면 점검 스크립트·공격(인젝션) 점검</w:t>
            </w:r>
          </w:p>
        </w:tc>
        <w:tc>
          <w:tcPr>
            <w:tcW w:type="dxa" w:w="357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기능은 사람이 지시하고, 화면을 직접 써 보고 테스트 결과를 확인함</w:t>
            </w:r>
          </w:p>
        </w:tc>
      </w:tr>
      <w:tr>
        <w:tc>
          <w:tcPr>
            <w:tcW w:type="dxa" w:w="104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문서 작성 보조</w:t>
            </w:r>
          </w:p>
        </w:tc>
        <w:tc>
          <w:tcPr>
            <w:tcW w:type="dxa" w:w="523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README·사용설명서·개발완료보고서·기술설명서·발표자료·이 신고서의 문장</w:t>
            </w:r>
          </w:p>
        </w:tc>
        <w:tc>
          <w:tcPr>
            <w:tcW w:type="dxa" w:w="357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사람이 읽고 고칠 곳을 지시함</w:t>
            </w:r>
          </w:p>
        </w:tc>
      </w:tr>
      <w:tr>
        <w:tc>
          <w:tcPr>
            <w:tcW w:type="dxa" w:w="104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 조사 보조</w:t>
            </w:r>
          </w:p>
        </w:tc>
        <w:tc>
          <w:tcPr>
            <w:tcW w:type="dxa" w:w="523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법령·공공 자료 검색과 요약(4-1 참고 문헌). 원문 대조 여부는 오른쪽 칸</w:t>
            </w:r>
          </w:p>
        </w:tc>
        <w:tc>
          <w:tcPr>
            <w:tcW w:type="dxa" w:w="357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원문 PDF를 사람이 받아 대조함</w:t>
            </w:r>
          </w:p>
        </w:tc>
      </w:tr>
      <w:tr>
        <w:tc>
          <w:tcPr>
            <w:tcW w:type="dxa" w:w="104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개발용 데이터</w:t>
            </w:r>
          </w:p>
        </w:tc>
        <w:tc>
          <w:tcPr>
            <w:tcW w:type="dxa" w:w="523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개발용 합성 시드(seed/dev_sample.csv)·시연용 합성 시나리오</w:t>
            </w:r>
          </w:p>
        </w:tc>
        <w:tc>
          <w:tcPr>
            <w:tcW w:type="dxa" w:w="357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합성임을 모든 문서·화면에 표시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/>
          <w:sz w:val="20"/>
        </w:rPr>
        <w:t>B. 팀이 정한 부분</w:t>
      </w:r>
      <w:r>
        <w:rPr>
          <w:rFonts w:ascii="맑은 고딕" w:hAnsi="맑은 고딕" w:eastAsia="맑은 고딕" w:cs="맑은 고딕"/>
          <w:b w:val="0"/>
          <w:sz w:val="20"/>
        </w:rPr>
        <w:t xml:space="preserve"> — 강은진·김동우 2인이 공동으로 설계·개발·시험했다.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072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영역</w:t>
            </w:r>
          </w:p>
        </w:tc>
        <w:tc>
          <w:tcPr>
            <w:tcW w:type="dxa" w:w="6862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결정 내용 (문서에 남은 것)</w:t>
            </w:r>
          </w:p>
        </w:tc>
        <w:tc>
          <w:tcPr>
            <w:tcW w:type="dxa" w:w="1930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팀이 정했는가 · 누가</w:t>
            </w:r>
          </w:p>
        </w:tc>
      </w:tr>
      <w:tr>
        <w:tc>
          <w:tcPr>
            <w:tcW w:type="dxa" w:w="107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문제 정의</w:t>
            </w:r>
          </w:p>
        </w:tc>
        <w:tc>
          <w:tcPr>
            <w:tcW w:type="dxa" w:w="686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축제 민원을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건수가 아니라 심각도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 판단한다. 사용자는 축제 운영 주무관</w:t>
            </w:r>
          </w:p>
        </w:tc>
        <w:tc>
          <w:tcPr>
            <w:tcW w:type="dxa" w:w="193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팀 공동 (강은진·김동우)</w:t>
            </w:r>
          </w:p>
        </w:tc>
      </w:tr>
      <w:tr>
        <w:tc>
          <w:tcPr>
            <w:tcW w:type="dxa" w:w="107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대상·범위</w:t>
            </w:r>
          </w:p>
        </w:tc>
        <w:tc>
          <w:tcPr>
            <w:tcW w:type="dxa" w:w="686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대상 축제 진주남강유등축제, 대회 Level 3 MVP 범위</w:t>
            </w:r>
          </w:p>
        </w:tc>
        <w:tc>
          <w:tcPr>
            <w:tcW w:type="dxa" w:w="193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팀 공동 (강은진·김동우)</w:t>
            </w:r>
          </w:p>
        </w:tc>
      </w:tr>
      <w:tr>
        <w:tc>
          <w:tcPr>
            <w:tcW w:type="dxa" w:w="107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판단 기준</w:t>
            </w:r>
          </w:p>
        </w:tc>
        <w:tc>
          <w:tcPr>
            <w:tcW w:type="dxa" w:w="686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안전 민원 우선. 혼잡은 밀림·압사·위험 신호가 있을 때만 안전. 고위험 조치(대피·통제·재난문자)는 AI 가 제안만 하고 운영자가 판단</w:t>
            </w:r>
          </w:p>
        </w:tc>
        <w:tc>
          <w:tcPr>
            <w:tcW w:type="dxa" w:w="193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팀 공동 (강은진·김동우)</w:t>
            </w:r>
          </w:p>
        </w:tc>
      </w:tr>
      <w:tr>
        <w:tc>
          <w:tcPr>
            <w:tcW w:type="dxa" w:w="107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규칙 결정</w:t>
            </w:r>
          </w:p>
        </w:tc>
        <w:tc>
          <w:tcPr>
            <w:tcW w:type="dxa" w:w="686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심각도 규칙 S-01~S-06·B-01~B-04의 가중치·문턱값(설계값), 지연 판정 기준(20회 이상 측정에서 중앙값·p90 모두 10초 이하, 최댓값은 기록만)</w:t>
            </w:r>
          </w:p>
        </w:tc>
        <w:tc>
          <w:tcPr>
            <w:tcW w:type="dxa" w:w="193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팀 공동 (강은진·김동우)</w:t>
            </w:r>
          </w:p>
        </w:tc>
      </w:tr>
      <w:tr>
        <w:tc>
          <w:tcPr>
            <w:tcW w:type="dxa" w:w="107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데이터 결정</w:t>
            </w:r>
          </w:p>
        </w:tc>
        <w:tc>
          <w:tcPr>
            <w:tcW w:type="dxa" w:w="686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실제 리뷰는 수집하지 않고 개발용 합성 시드를 쓴다</w:t>
            </w:r>
          </w:p>
        </w:tc>
        <w:tc>
          <w:tcPr>
            <w:tcW w:type="dxa" w:w="193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팀 공동 (강은진·김동우)</w:t>
            </w:r>
          </w:p>
        </w:tc>
      </w:tr>
      <w:tr>
        <w:tc>
          <w:tcPr>
            <w:tcW w:type="dxa" w:w="107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기술 결정</w:t>
            </w:r>
          </w:p>
        </w:tc>
        <w:tc>
          <w:tcPr>
            <w:tcW w:type="dxa" w:w="686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웹(Vite + TypeScript) + Supabase, 에이전트 루프 직접 구현. 웹과 한 언어로 맞추려고 서버를 Python에서 TypeScript로 옮기고, 같은 합성 160건 결과 차이 0을 확인한 뒤 Python 코드 삭제</w:t>
            </w:r>
          </w:p>
        </w:tc>
        <w:tc>
          <w:tcPr>
            <w:tcW w:type="dxa" w:w="193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팀 공동 (강은진·김동우)</w:t>
            </w:r>
          </w:p>
        </w:tc>
      </w:tr>
      <w:tr>
        <w:tc>
          <w:tcPr>
            <w:tcW w:type="dxa" w:w="107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디자인 지시</w:t>
            </w:r>
          </w:p>
        </w:tc>
        <w:tc>
          <w:tcPr>
            <w:tcW w:type="dxa" w:w="686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 방향(관제 화면에서 점수 숨김, 색 유지)</w:t>
            </w:r>
          </w:p>
        </w:tc>
        <w:tc>
          <w:tcPr>
            <w:tcW w:type="dxa" w:w="193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팀 공동 (강은진·김동우)</w:t>
            </w:r>
          </w:p>
        </w:tc>
      </w:tr>
      <w:tr>
        <w:tc>
          <w:tcPr>
            <w:tcW w:type="dxa" w:w="107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안전·윤리</w:t>
            </w:r>
          </w:p>
        </w:tc>
        <w:tc>
          <w:tcPr>
            <w:tcW w:type="dxa" w:w="686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이름·연락처 미수집, 저장 전 마스킹, 접수 원문 즉시 삭제</w:t>
            </w:r>
          </w:p>
        </w:tc>
        <w:tc>
          <w:tcPr>
            <w:tcW w:type="dxa" w:w="193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팀 공동 (강은진·김동우)</w:t>
            </w:r>
          </w:p>
        </w:tc>
      </w:tr>
      <w:tr>
        <w:tc>
          <w:tcPr>
            <w:tcW w:type="dxa" w:w="107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제출물</w:t>
            </w:r>
          </w:p>
        </w:tc>
        <w:tc>
          <w:tcPr>
            <w:tcW w:type="dxa" w:w="686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문서의 최종 문장·수치 확정, 발표·시연 구성</w:t>
            </w:r>
          </w:p>
        </w:tc>
        <w:tc>
          <w:tcPr>
            <w:tcW w:type="dxa" w:w="193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팀 공동 (강은진·김동우)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/>
        <w:spacing w:before="160" w:after="60" w:line="240" w:lineRule="auto"/>
      </w:pPr>
      <w:r>
        <w:rPr>
          <w:rFonts w:ascii="맑은 고딕" w:hAnsi="맑은 고딕" w:eastAsia="맑은 고딕" w:cs="맑은 고딕"/>
          <w:b/>
          <w:sz w:val="25"/>
        </w:rPr>
        <w:t>2. 오픈소스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912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이름</w:t>
            </w:r>
          </w:p>
        </w:tc>
        <w:tc>
          <w:tcPr>
            <w:tcW w:type="dxa" w:w="1835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버전</w:t>
            </w:r>
          </w:p>
        </w:tc>
        <w:tc>
          <w:tcPr>
            <w:tcW w:type="dxa" w:w="1224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라이선스</w:t>
            </w:r>
          </w:p>
        </w:tc>
        <w:tc>
          <w:tcPr>
            <w:tcW w:type="dxa" w:w="4894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용도</w:t>
            </w:r>
          </w:p>
        </w:tc>
      </w:tr>
      <w:tr>
        <w:tc>
          <w:tcPr>
            <w:tcW w:type="dxa" w:w="191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@anthropic-ai/sdk</w:t>
            </w:r>
          </w:p>
        </w:tc>
        <w:tc>
          <w:tcPr>
            <w:tcW w:type="dxa" w:w="183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0.60.0</w:t>
            </w:r>
          </w:p>
        </w:tc>
        <w:tc>
          <w:tcPr>
            <w:tcW w:type="dxa" w:w="122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MIT</w:t>
            </w:r>
          </w:p>
        </w:tc>
        <w:tc>
          <w:tcPr>
            <w:tcW w:type="dxa" w:w="489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Claude API 직접 호출 경로 (서버, 이번 제출에서는 쓰지 않음)</w:t>
            </w:r>
          </w:p>
        </w:tc>
      </w:tr>
      <w:tr>
        <w:tc>
          <w:tcPr>
            <w:tcW w:type="dxa" w:w="191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docx</w:t>
            </w:r>
          </w:p>
        </w:tc>
        <w:tc>
          <w:tcPr>
            <w:tcW w:type="dxa" w:w="183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9.8.1</w:t>
            </w:r>
          </w:p>
        </w:tc>
        <w:tc>
          <w:tcPr>
            <w:tcW w:type="dxa" w:w="122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MIT</w:t>
            </w:r>
          </w:p>
        </w:tc>
        <w:tc>
          <w:tcPr>
            <w:tcW w:type="dxa" w:w="489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조치요청서 DOCX 생성 (서버)</w:t>
            </w:r>
          </w:p>
        </w:tc>
      </w:tr>
      <w:tr>
        <w:tc>
          <w:tcPr>
            <w:tcW w:type="dxa" w:w="191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pg</w:t>
            </w:r>
          </w:p>
        </w:tc>
        <w:tc>
          <w:tcPr>
            <w:tcW w:type="dxa" w:w="183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8.23.1</w:t>
            </w:r>
          </w:p>
        </w:tc>
        <w:tc>
          <w:tcPr>
            <w:tcW w:type="dxa" w:w="122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MIT</w:t>
            </w:r>
          </w:p>
        </w:tc>
        <w:tc>
          <w:tcPr>
            <w:tcW w:type="dxa" w:w="489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워커의 Supabase Postgres 연결 (운영 구성)</w:t>
            </w:r>
          </w:p>
        </w:tc>
      </w:tr>
      <w:tr>
        <w:tc>
          <w:tcPr>
            <w:tcW w:type="dxa" w:w="191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dotenv</w:t>
            </w:r>
          </w:p>
        </w:tc>
        <w:tc>
          <w:tcPr>
            <w:tcW w:type="dxa" w:w="183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16.6.1</w:t>
            </w:r>
          </w:p>
        </w:tc>
        <w:tc>
          <w:tcPr>
            <w:tcW w:type="dxa" w:w="122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BSD-2-Clause</w:t>
            </w:r>
          </w:p>
        </w:tc>
        <w:tc>
          <w:tcPr>
            <w:tcW w:type="dxa" w:w="489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환경변수 로드 (서버)</w:t>
            </w:r>
          </w:p>
        </w:tc>
      </w:tr>
      <w:tr>
        <w:tc>
          <w:tcPr>
            <w:tcW w:type="dxa" w:w="191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Node.js</w:t>
            </w:r>
          </w:p>
        </w:tc>
        <w:tc>
          <w:tcPr>
            <w:tcW w:type="dxa" w:w="183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24 (개발 v24.16.0)</w:t>
            </w:r>
          </w:p>
        </w:tc>
        <w:tc>
          <w:tcPr>
            <w:tcW w:type="dxa" w:w="122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MIT</w:t>
            </w:r>
          </w:p>
        </w:tc>
        <w:tc>
          <w:tcPr>
            <w:tcW w:type="dxa" w:w="489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서버 실행 환경 (TypeScript 타입 제거 실행, 내장 node:sqlite·node:test)</w:t>
            </w:r>
          </w:p>
        </w:tc>
      </w:tr>
      <w:tr>
        <w:tc>
          <w:tcPr>
            <w:tcW w:type="dxa" w:w="191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qrcode</w:t>
            </w:r>
          </w:p>
        </w:tc>
        <w:tc>
          <w:tcPr>
            <w:tcW w:type="dxa" w:w="183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1.5.4</w:t>
            </w:r>
          </w:p>
        </w:tc>
        <w:tc>
          <w:tcPr>
            <w:tcW w:type="dxa" w:w="122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MIT</w:t>
            </w:r>
          </w:p>
        </w:tc>
        <w:tc>
          <w:tcPr>
            <w:tcW w:type="dxa" w:w="489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관리자 화면 'QR 만들기'의 접수 QR 생성 (웹)</w:t>
            </w:r>
          </w:p>
        </w:tc>
      </w:tr>
      <w:tr>
        <w:tc>
          <w:tcPr>
            <w:tcW w:type="dxa" w:w="191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jsqr</w:t>
            </w:r>
          </w:p>
        </w:tc>
        <w:tc>
          <w:tcPr>
            <w:tcW w:type="dxa" w:w="183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1.4.0</w:t>
            </w:r>
          </w:p>
        </w:tc>
        <w:tc>
          <w:tcPr>
            <w:tcW w:type="dxa" w:w="122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Apache-2.0</w:t>
            </w:r>
          </w:p>
        </w:tc>
        <w:tc>
          <w:tcPr>
            <w:tcW w:type="dxa" w:w="489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 점검에서 만든 QR 읽어 보기 (개발 의존성)</w:t>
            </w:r>
          </w:p>
        </w:tc>
      </w:tr>
      <w:tr>
        <w:tc>
          <w:tcPr>
            <w:tcW w:type="dxa" w:w="191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@supabase/supabase-js</w:t>
            </w:r>
          </w:p>
        </w:tc>
        <w:tc>
          <w:tcPr>
            <w:tcW w:type="dxa" w:w="183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^2.45.0</w:t>
            </w:r>
          </w:p>
        </w:tc>
        <w:tc>
          <w:tcPr>
            <w:tcW w:type="dxa" w:w="122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MIT</w:t>
            </w:r>
          </w:p>
        </w:tc>
        <w:tc>
          <w:tcPr>
            <w:tcW w:type="dxa" w:w="489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웹 화면 실시간 데이터</w:t>
            </w:r>
          </w:p>
        </w:tc>
      </w:tr>
      <w:tr>
        <w:tc>
          <w:tcPr>
            <w:tcW w:type="dxa" w:w="191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TypeScript</w:t>
            </w:r>
          </w:p>
        </w:tc>
        <w:tc>
          <w:tcPr>
            <w:tcW w:type="dxa" w:w="183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웹 ^5.5.0 · 서버 ~5.9.3</w:t>
            </w:r>
          </w:p>
        </w:tc>
        <w:tc>
          <w:tcPr>
            <w:tcW w:type="dxa" w:w="122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Apache-2.0</w:t>
            </w:r>
          </w:p>
        </w:tc>
        <w:tc>
          <w:tcPr>
            <w:tcW w:type="dxa" w:w="489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타입 검사 (개발 의존성) — 서버 .ts 는 Node 24 가 직접 실행</w:t>
            </w:r>
          </w:p>
        </w:tc>
      </w:tr>
      <w:tr>
        <w:tc>
          <w:tcPr>
            <w:tcW w:type="dxa" w:w="191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Vite</w:t>
            </w:r>
          </w:p>
        </w:tc>
        <w:tc>
          <w:tcPr>
            <w:tcW w:type="dxa" w:w="183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^5.4.0</w:t>
            </w:r>
          </w:p>
        </w:tc>
        <w:tc>
          <w:tcPr>
            <w:tcW w:type="dxa" w:w="122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MIT</w:t>
            </w:r>
          </w:p>
        </w:tc>
        <w:tc>
          <w:tcPr>
            <w:tcW w:type="dxa" w:w="489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웹 빌드 (개발 의존성)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/>
        <w:spacing w:before="160" w:after="60" w:line="240" w:lineRule="auto"/>
      </w:pPr>
      <w:r>
        <w:rPr>
          <w:rFonts w:ascii="맑은 고딕" w:hAnsi="맑은 고딕" w:eastAsia="맑은 고딕" w:cs="맑은 고딕"/>
          <w:b/>
          <w:sz w:val="25"/>
        </w:rPr>
        <w:t>3. 외부 API·서비스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608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이름</w:t>
            </w:r>
          </w:p>
        </w:tc>
        <w:tc>
          <w:tcPr>
            <w:tcW w:type="dxa" w:w="1461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제공처</w:t>
            </w:r>
          </w:p>
        </w:tc>
        <w:tc>
          <w:tcPr>
            <w:tcW w:type="dxa" w:w="2996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용도</w:t>
            </w:r>
          </w:p>
        </w:tc>
        <w:tc>
          <w:tcPr>
            <w:tcW w:type="dxa" w:w="3800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160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Claude Code CLI</w:t>
            </w:r>
          </w:p>
        </w:tc>
        <w:tc>
          <w:tcPr>
            <w:tcW w:type="dxa" w:w="146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Anthropic</w:t>
            </w:r>
          </w:p>
        </w:tc>
        <w:tc>
          <w:tcPr>
            <w:tcW w:type="dxa" w:w="299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에이전트 추론 (제출·시연 경로)</w:t>
            </w:r>
          </w:p>
        </w:tc>
        <w:tc>
          <w:tcPr>
            <w:tcW w:type="dxa" w:w="380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원가 참고값: 분류 1건 $0.01328 (CLI 경유 참고값)</w:t>
            </w:r>
          </w:p>
        </w:tc>
      </w:tr>
      <w:tr>
        <w:tc>
          <w:tcPr>
            <w:tcW w:type="dxa" w:w="160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한국관광공사 TourAPI 4.0</w:t>
            </w:r>
          </w:p>
        </w:tc>
        <w:tc>
          <w:tcPr>
            <w:tcW w:type="dxa" w:w="146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한국관광공사 · 공공데이터포털</w:t>
            </w:r>
          </w:p>
        </w:tc>
        <w:tc>
          <w:tcPr>
            <w:tcW w:type="dxa" w:w="299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축제 기본정보 조회</w:t>
            </w:r>
          </w:p>
        </w:tc>
        <w:tc>
          <w:tcPr>
            <w:tcW w:type="dxa" w:w="380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이번 제출에서 쓰지 않음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(키 미발급). 연동 코드만 있고 축제 정보는 수기 입력</w:t>
            </w:r>
          </w:p>
        </w:tc>
      </w:tr>
      <w:tr>
        <w:tc>
          <w:tcPr>
            <w:tcW w:type="dxa" w:w="160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Supabase</w:t>
            </w:r>
          </w:p>
        </w:tc>
        <w:tc>
          <w:tcPr>
            <w:tcW w:type="dxa" w:w="146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Supabase Inc.</w:t>
            </w:r>
          </w:p>
        </w:tc>
        <w:tc>
          <w:tcPr>
            <w:tcW w:type="dxa" w:w="299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DB(Postgres)·실시간 구독·파일 저장(조치요청서 DOCX)</w:t>
            </w:r>
          </w:p>
        </w:tc>
        <w:tc>
          <w:tcPr>
            <w:tcW w:type="dxa" w:w="380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요금제 무료(Free). 시험은 SQLite로 함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/>
        <w:spacing w:before="160" w:after="60" w:line="240" w:lineRule="auto"/>
      </w:pPr>
      <w:r>
        <w:rPr>
          <w:rFonts w:ascii="맑은 고딕" w:hAnsi="맑은 고딕" w:eastAsia="맑은 고딕" w:cs="맑은 고딕"/>
          <w:b/>
          <w:sz w:val="25"/>
        </w:rPr>
        <w:t>4. 데이터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265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데이터</w:t>
            </w:r>
          </w:p>
        </w:tc>
        <w:tc>
          <w:tcPr>
            <w:tcW w:type="dxa" w:w="4047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출처</w:t>
            </w:r>
          </w:p>
        </w:tc>
        <w:tc>
          <w:tcPr>
            <w:tcW w:type="dxa" w:w="506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건수</w:t>
            </w:r>
          </w:p>
        </w:tc>
        <w:tc>
          <w:tcPr>
            <w:tcW w:type="dxa" w:w="4047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126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리플레이 시드</w:t>
            </w:r>
          </w:p>
        </w:tc>
        <w:tc>
          <w:tcPr>
            <w:tcW w:type="dxa" w:w="404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개발용 합성 데이터(seed/dev_sample.csv, 실제 인물·실제 리뷰 아님)</w:t>
            </w:r>
          </w:p>
        </w:tc>
        <w:tc>
          <w:tcPr>
            <w:tcW w:type="dxa" w:w="50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160건</w:t>
            </w:r>
          </w:p>
        </w:tc>
        <w:tc>
          <w:tcPr>
            <w:tcW w:type="dxa" w:w="404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실제 리뷰는 수집하지 않음(팀 결정). 신청서의 "공개 리뷰 직접 수집·정제 200건"에서 합성 160건으로 바꿈. 수집 데이터로 신고하지 않음</w:t>
            </w:r>
          </w:p>
        </w:tc>
      </w:tr>
      <w:tr>
        <w:tc>
          <w:tcPr>
            <w:tcW w:type="dxa" w:w="126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축제·구역 정보</w:t>
            </w:r>
          </w:p>
        </w:tc>
        <w:tc>
          <w:tcPr>
            <w:tcW w:type="dxa" w:w="404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수기 작성 (server/core/config.ts)</w:t>
            </w:r>
          </w:p>
        </w:tc>
        <w:tc>
          <w:tcPr>
            <w:tcW w:type="dxa" w:w="506"/>
          </w:tcPr>
          <w:p>
            <w:pPr>
              <w:keepNext w:val="0"/>
              <w:spacing w:before="0" w:after="0" w:line="240" w:lineRule="auto"/>
            </w:pPr>
          </w:p>
        </w:tc>
        <w:tc>
          <w:tcPr>
            <w:tcW w:type="dxa" w:w="404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TourAPI 미사용</w:t>
            </w:r>
          </w:p>
        </w:tc>
      </w:tr>
      <w:tr>
        <w:tc>
          <w:tcPr>
            <w:tcW w:type="dxa" w:w="126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이태원 참사 112 신고 녹취</w:t>
            </w:r>
          </w:p>
        </w:tc>
        <w:tc>
          <w:tcPr>
            <w:tcW w:type="dxa" w:w="404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경찰청 2022-11-01 언론 공개분. tbs·문화일보·민중의소리·프레시안 보도에서 시각·장소·발언 일부를 옮김</w:t>
            </w:r>
          </w:p>
        </w:tc>
        <w:tc>
          <w:tcPr>
            <w:tcW w:type="dxa" w:w="50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11건</w:t>
            </w:r>
          </w:p>
        </w:tc>
        <w:tc>
          <w:tcPr>
            <w:tcW w:type="dxa" w:w="404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시간순 재현 시험에만 사용. 신고자 신원 정보 없음</w:t>
            </w:r>
          </w:p>
        </w:tc>
      </w:tr>
      <w:tr>
        <w:tc>
          <w:tcPr>
            <w:tcW w:type="dxa" w:w="126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QR 접수 민원</w:t>
            </w:r>
          </w:p>
        </w:tc>
        <w:tc>
          <w:tcPr>
            <w:tcW w:type="dxa" w:w="404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서비스 이용자 직접 입력</w:t>
            </w:r>
          </w:p>
        </w:tc>
        <w:tc>
          <w:tcPr>
            <w:tcW w:type="dxa" w:w="506"/>
          </w:tcPr>
          <w:p>
            <w:pPr>
              <w:keepNext w:val="0"/>
              <w:spacing w:before="0" w:after="0" w:line="240" w:lineRule="auto"/>
            </w:pPr>
          </w:p>
        </w:tc>
        <w:tc>
          <w:tcPr>
            <w:tcW w:type="dxa" w:w="404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마스킹 후 저장, 접수함 원문은 처리 직후 삭제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/>
        <w:spacing w:before="100" w:after="40" w:line="240" w:lineRule="auto"/>
      </w:pPr>
      <w:r>
        <w:rPr>
          <w:rFonts w:ascii="맑은 고딕" w:hAnsi="맑은 고딕" w:eastAsia="맑은 고딕" w:cs="맑은 고딕"/>
          <w:b/>
          <w:sz w:val="21"/>
        </w:rPr>
        <w:t>4-1. 심각도·안전 판단의 참고 문헌 (코드·데이터로 쓰지 않음, 규칙 설계의 근거로만 인용)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>보고서·발표에 인용한 것만 적습니다. 전체 목록(26건)은 이 문서 끝 '부록: 심각도 근거 자료 전체'에 있습니다.</w:t>
      </w:r>
    </w:p>
    <w:p>
      <w:pPr>
        <w:pStyle w:val="ListBullet"/>
        <w:keepNext w:val="0"/>
        <w:spacing w:before="0" w:after="2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>'원문을 못 연 것'으로 분류한 자료(문체부 공연 관객 안전 체크리스트, 감사원 이태원 감사보고서, 권익위 축제 민원 통계, 진주시 안전관리계획)는 인용하지 않았습니다.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925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자료</w:t>
            </w:r>
          </w:p>
        </w:tc>
        <w:tc>
          <w:tcPr>
            <w:tcW w:type="dxa" w:w="918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발행</w:t>
            </w:r>
          </w:p>
        </w:tc>
        <w:tc>
          <w:tcPr>
            <w:tcW w:type="dxa" w:w="2351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쓴 곳</w:t>
            </w:r>
          </w:p>
        </w:tc>
        <w:tc>
          <w:tcPr>
            <w:tcW w:type="dxa" w:w="3671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주소</w:t>
            </w:r>
          </w:p>
        </w:tc>
      </w:tr>
      <w:tr>
        <w:tc>
          <w:tcPr>
            <w:tcW w:type="dxa" w:w="292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「재난 및 안전관리 기본법」 제3조 제1호 나목, 제66조의11 제5항</w:t>
            </w:r>
          </w:p>
        </w:tc>
        <w:tc>
          <w:tcPr>
            <w:tcW w:type="dxa" w:w="91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법률</w:t>
            </w:r>
          </w:p>
        </w:tc>
        <w:tc>
          <w:tcPr>
            <w:tcW w:type="dxa" w:w="235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위험 신호가 있는 혼잡=안전(S-02), 경찰·소방 협조 요청</w:t>
            </w:r>
          </w:p>
        </w:tc>
        <w:tc>
          <w:tcPr>
            <w:tcW w:type="dxa" w:w="367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https://www.law.go.kr/법령/재난및안전관리기본법</w:t>
            </w:r>
          </w:p>
        </w:tc>
      </w:tr>
      <w:tr>
        <w:tc>
          <w:tcPr>
            <w:tcW w:type="dxa" w:w="292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「재난 및 안전관리 기본법 시행령」 제73조의9</w:t>
            </w:r>
          </w:p>
        </w:tc>
        <w:tc>
          <w:tcPr>
            <w:tcW w:type="dxa" w:w="91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대통령령</w:t>
            </w:r>
          </w:p>
        </w:tc>
        <w:tc>
          <w:tcPr>
            <w:tcW w:type="dxa" w:w="235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유등축제가 안전관리계획 대상</w:t>
            </w:r>
          </w:p>
        </w:tc>
        <w:tc>
          <w:tcPr>
            <w:tcW w:type="dxa" w:w="367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https://www.law.go.kr/법령/재난및안전관리기본법시행령</w:t>
            </w:r>
          </w:p>
        </w:tc>
      </w:tr>
      <w:tr>
        <w:tc>
          <w:tcPr>
            <w:tcW w:type="dxa" w:w="292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「다중운집인파사고 안전관리 가이드라인」 (2024.9)</w:t>
            </w:r>
          </w:p>
        </w:tc>
        <w:tc>
          <w:tcPr>
            <w:tcW w:type="dxa" w:w="91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행정안전부</w:t>
            </w:r>
          </w:p>
        </w:tc>
        <w:tc>
          <w:tcPr>
            <w:tcW w:type="dxa" w:w="235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인파 위험 3단계와 단계별 조치(S-03·S-04, 고위험 조치)</w:t>
            </w:r>
          </w:p>
        </w:tc>
        <w:tc>
          <w:tcPr>
            <w:tcW w:type="dxa" w:w="367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https://www.mois.go.kr/frt/bbs/type001/commonSelectBoardArticle.do?bbsId=BBSMSTR_000000000015&amp;nttId=121405</w:t>
            </w:r>
          </w:p>
        </w:tc>
      </w:tr>
      <w:tr>
        <w:tc>
          <w:tcPr>
            <w:tcW w:type="dxa" w:w="292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「지역축제장 안전관리 매뉴얼(2024)」 p.82 · p.137·154~155</w:t>
            </w:r>
          </w:p>
        </w:tc>
        <w:tc>
          <w:tcPr>
            <w:tcW w:type="dxa" w:w="91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행정안전부</w:t>
            </w:r>
          </w:p>
        </w:tc>
        <w:tc>
          <w:tcPr>
            <w:tcW w:type="dxa" w:w="235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인파관리지원시스템 단계(급증 2배와의 대응), 부서 편성 예시</w:t>
            </w:r>
          </w:p>
        </w:tc>
        <w:tc>
          <w:tcPr>
            <w:tcW w:type="dxa" w:w="367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https://www.mois.go.kr/frt/bbs/type001/commonSelectBoardArticle.do?bbsId=BBSMSTR_000000000015&amp;nttId=113047</w:t>
            </w:r>
          </w:p>
        </w:tc>
      </w:tr>
      <w:tr>
        <w:tc>
          <w:tcPr>
            <w:tcW w:type="dxa" w:w="292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「29일부터 인파관리지원시스템 본격 운영」 (2023.12.27)</w:t>
            </w:r>
          </w:p>
        </w:tc>
        <w:tc>
          <w:tcPr>
            <w:tcW w:type="dxa" w:w="91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행정안전부(정책브리핑)</w:t>
            </w:r>
          </w:p>
        </w:tc>
        <w:tc>
          <w:tcPr>
            <w:tcW w:type="dxa" w:w="235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지자체가 임계치를 현장에 맞게 설정 → 우리 값도 설계값</w:t>
            </w:r>
          </w:p>
        </w:tc>
        <w:tc>
          <w:tcPr>
            <w:tcW w:type="dxa" w:w="367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https://www.korea.kr/news/policyNewsView.do?newsId=148924176</w:t>
            </w:r>
          </w:p>
        </w:tc>
      </w:tr>
      <w:tr>
        <w:tc>
          <w:tcPr>
            <w:tcW w:type="dxa" w:w="292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「민원 처리에 관한 법률 시행령」 제19조</w:t>
            </w:r>
          </w:p>
        </w:tc>
        <w:tc>
          <w:tcPr>
            <w:tcW w:type="dxa" w:w="91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대통령령</w:t>
            </w:r>
          </w:p>
        </w:tc>
        <w:tc>
          <w:tcPr>
            <w:tcW w:type="dxa" w:w="235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'즉시' 민원 3근무시간 → S-06 30분(설계값)</w:t>
            </w:r>
          </w:p>
        </w:tc>
        <w:tc>
          <w:tcPr>
            <w:tcW w:type="dxa" w:w="367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https://www.law.go.kr/법령/민원처리에관한법률시행령</w:t>
            </w:r>
          </w:p>
        </w:tc>
      </w:tr>
      <w:tr>
        <w:tc>
          <w:tcPr>
            <w:tcW w:type="dxa" w:w="2925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「재난문자방송 기준 및 운영규정」 제9조 (행안부 예규 제361호, 2026.2.4)</w:t>
            </w:r>
          </w:p>
        </w:tc>
        <w:tc>
          <w:tcPr>
            <w:tcW w:type="dxa" w:w="91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행정안전부</w:t>
            </w:r>
          </w:p>
        </w:tc>
        <w:tc>
          <w:tcPr>
            <w:tcW w:type="dxa" w:w="235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재난문자는 현장 판단에 따라 정해진 기관이 발송 → AI 는 제안만</w:t>
            </w:r>
          </w:p>
        </w:tc>
        <w:tc>
          <w:tcPr>
            <w:tcW w:type="dxa" w:w="3671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https://www.law.go.kr/행정규칙/재난문자방송기준및운영규정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/>
        <w:spacing w:before="160" w:after="60" w:line="240" w:lineRule="auto"/>
      </w:pPr>
      <w:r>
        <w:rPr>
          <w:rFonts w:ascii="맑은 고딕" w:hAnsi="맑은 고딕" w:eastAsia="맑은 고딕" w:cs="맑은 고딕"/>
          <w:b/>
          <w:sz w:val="25"/>
        </w:rPr>
        <w:t>5. 기존 자산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258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7606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225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대회 이전에 만든 코드·자료</w:t>
            </w:r>
          </w:p>
        </w:tc>
        <w:tc>
          <w:tcPr>
            <w:tcW w:type="dxa" w:w="760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자체 기존 코드 없음. 외부 기존자산: 오픈소스(2절), AI 모델 Claude(Anthropic), 공개자료(행정안전부 지역축제장 안전관리 매뉴얼·다중운집인파사고 안전관리 가이드라인, 이태원 112 공개 녹취)</w:t>
            </w:r>
          </w:p>
        </w:tc>
      </w:tr>
      <w:tr>
        <w:tc>
          <w:tcPr>
            <w:tcW w:type="dxa" w:w="225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대회 기간 신규 개발</w:t>
            </w:r>
          </w:p>
        </w:tc>
        <w:tc>
          <w:tcPr>
            <w:tcW w:type="dxa" w:w="760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대회 기간(2026-09-29~10-06)에 새로 만든 산출물. 팀이 설계·지시·검토하고 Claude Code로 작성 보조를 받았다.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1) 에이전트 5종과 실행 루프·작업 큐(프레임워크 없이 직접 구현), 실시간/배후 2경로 구조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2) 결정적 심각도 함수(규칙 6종·경계 규칙 4종, 계산식 노출)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3) 계획(주기마다 돌릴 단계·창 결정)과 기억(비슷한 과거 사례)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4) 관제 조치 카드와 AI 문구 검사, 확인 필요 처리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5) 개인정보 마스킹·프롬프트 인젝션 탐지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6) 부서 매핑과 조치요청서 DOCX 생성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7) 리플레이 엔진, 개발용 합성 시드, 시연용 합성 시나리오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8) 평가·측정 도구(정확도·지연·원가 측정)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9) 웹 앱(접수·관제·조치·QR 만들기·AI 동작 보기), Supabase 연동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/>
        <w:spacing w:before="160" w:after="60" w:line="240" w:lineRule="auto"/>
      </w:pPr>
      <w:r>
        <w:rPr>
          <w:rFonts w:ascii="맑은 고딕" w:hAnsi="맑은 고딕" w:eastAsia="맑은 고딕" w:cs="맑은 고딕"/>
          <w:b/>
          <w:sz w:val="25"/>
        </w:rPr>
        <w:t>부록: 심각도 근거 자료 전체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1. 행정안전부「다중운집인파사고 안전관리 가이드라인」(2024.9): 인파 위험 3단계와 단계별 조치. 행안부 게시 https://www.mois.go.kr/frt/bbs/type001/commonSelectBoardArticle.do?bbsId=BBSMSTR_000000000015&amp;nttId=121405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2. 행정안전부「지역축제장 안전관리 매뉴얼(2024)」(2024.10, 재난안전법 제66조의11): 위험 유형·조치·사고 대응 (원문 p.52~57 사고 대응, p.70~83 인파, p.89~101 장소·수상, p.123~126 야간·기타를 대조함) https://www.mois.go.kr/frt/bbs/type001/commonSelectBoardArticle.do?bbsId=BBSMSTR_000000000015&amp;nttId=113047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3. 소방청「다중 밀집 지역 인파사고 예방법」(2024.12): 군중 쏠림·압착 징후 (혼잡 정의) https://www.korea.kr/news/policyNewsView.do?newsId=148938050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4. 진주남강유등축제 공식 누리집: 일정·행사배치도 https://yudeung.com/sub2_3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5. 「지역축제장 안전관리 매뉴얼(2024)」 부록 4 안전관리 체크리스트 (p.144~149): 전기·가스·시설·소방·진행 중 점검 항목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6. 「재난 및 안전관리 기본법 시행령」 제73조의9: 안전관리계획 수립 대상 (매뉴얼 p.12 수록 원문으로 확인)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7. 진주남강유등축제 공식 누리집 프로그램 안내: 부교(사랑다리 건너기) https://yudeung.com/program/festival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8. 「재난 및 안전관리 기본법」 제3조 제1호 나목: 다중운집인파사고를 사회재난에 포함 (인파 가이드라인 p.1 인용으로 확인)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9. 「재난문자방송 기준 및 운영규정」 별표 1 재난문자방송 발송기준(제12조 관련): 사회재난 발송 대상 https://www.law.go.kr/LSW/admRulLsInfoP.do?admRulSeq=2100000232288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10. 「민원 처리에 관한 법률 시행령」 제19조(처리기간의 계산), 제16조 (S-06) https://www.law.go.kr/법령/민원처리에관한법률시행령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11. 「재난 및 안전관리 기본법」 제66조의11 제5항·제6항 (2023.12.26 개정) https://www.law.go.kr/법령/재난및안전관리기본법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12. 「재난 및 안전관리 기본법 시행령」 제73조의9 제2항 https://www.law.go.kr/법령/재난및안전관리기본법시행령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13. 「재난문자방송 기준 및 운영규정」 제9조 (행안부 예규 제361호, 2026.2.4) https://www.law.go.kr/행정규칙/재난문자방송기준및운영규정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14. 식품위생법 시행규칙 별표 17 제7호 아목 https://www.law.go.kr/법령/식품위생법시행규칙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15. 공중화장실 등에 관한 법률 제2조·제10조 https://www.law.go.kr/법령/공중화장실등에관한법률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16. 진주시 옥외행사의 안전관리에 관한 조례 (2022.12.19) https://www.law.go.kr/LSW/ordinInfoP.do?ordinSeq=1758879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17. 진주시 축제 지원 조례 (2023.5.15): 제2조에 진주남강유등축제 명시, 제5조 셔틀버스 https://www.law.go.kr/LSW/ordinInfoP.do?ordinSeq=1809343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18. 진주시 공중화장실 등 설치 및 관리에 관한 조례 제16조 (2024.11.11) https://www.law.go.kr/LSW/ordinInfoP.do?ordinSeq=1984247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19. 행안부 보도자료 「바가지요금 없는 지역축제 위해 지역 책임관 지정해 현장점검」 (2024.3.6) https://www.mois.go.kr/frt/bbs/type010/commonSelectBoardArticle.do?bbsId=BBSMSTR_000000000008&amp;nttId=107570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20. 국무조정실 「인파사고 재발방지대책」 (2023.3.28, 제105차 중앙안전관리위원회) https://www.opm.go.kr/opm/news/press-release.do?mode=download&amp;articleNo=153033&amp;attachNo=132874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21. 행안부 「29일부터 인파관리지원시스템 본격 운영」 (2023.12.27) https://www.korea.kr/news/policyNewsView.do?newsId=148924176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22. 행안부 「인파사고 재난 위기 유형에 대규모 공연 등 감시목록 추가」 (2023.4.24) https://www.korea.kr/news/policyNewsView.do?newsId=148914171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23. 행안부 「가을철 인파사고 위험요소 사전 제거」 (2025.9.10) https://www.korea.kr/news/policyNewsView.do?newsId=148949008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24. 행안부 등 「BTS 컴백공연 안전 총력」 합동점검 (2026.3.20) https://www.korea.kr/news/policyNewsView.do?newsId=148961193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25. 행안부 다중운집인파 안전관리 업무안내 https://www.mois.go.kr/frt/sub/a06/b13/crowdSafety/screen.do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26. 진주환경운동연합·진주공익감시단 2025 유등축제 모니터링 보도 (2025.10.23) (실제 민원 예시) https://v.daum.net/v/20251023102823029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  - 찾았지만 원문을 못 연 것: 문체부 「공연 관객 안전관리 체크리스트」, 감사원 이태원 감사보고서 원문, 권익위 축제 민원 통계, 진주시 안전관리계획 원문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