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T85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search engine upgrades: manual annotation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IDs in Google Sheets: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T85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INT/Jesse de Does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exists: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 corpora and search engines; annotation tools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What must be adapted / extended / created anew: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an infrastructure for managing user annotations in corpora. All corpus search applications should support the manual annotation of search results with codes to further refine/classify the search results (cf. the Lancaster BNC interface).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add annotations to search results and to share these annotations with other users.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Deposit (manual) annotation results back into an archive (closing the data management life cycle)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Annotations should be searchable in the corpus (depends on design approach)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also benefit treebank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4292e"/>
          <w:rtl w:val="0"/>
        </w:rPr>
        <w:t xml:space="preserve">There are two basic scenarios: either there is a strong integration with the search engine, which would simplify support of making annotations searchable; or one implements a module that can be combined with any type of search engine.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Example use cases: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Annotate word senses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Annotate tagger errors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fine-grained syntactic information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Cf also: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bnc web annotated queries (screenshots below)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https://github.com/emanjavacas/cosycat/wiki/Annotations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Why important for CLARIAH (scientific impact):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Added value to research with corpora.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Targeted/Actual users: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corpus users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use (quantify!):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Social Impact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(concrete examples):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Facilitate linguistic research; publish data on which research is based; foster collaborative corpus research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Estimate in PMs (try to justify):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6PM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 + PMs: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Participants + PMs: INT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4.340092203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4.979804985517"/>
        <w:gridCol w:w="1589.9865366570114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gridCol w:w="561.1717188201216"/>
        <w:tblGridChange w:id="0">
          <w:tblGrid>
            <w:gridCol w:w="2384.979804985517"/>
            <w:gridCol w:w="1589.9865366570114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  <w:gridCol w:w="561.1717188201216"/>
          </w:tblGrid>
        </w:tblGridChange>
      </w:tblGrid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 personeel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T085 Manual Annotation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T085 Manual annotation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(Computational) linguist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93579648697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975"/>
        <w:gridCol w:w="1272.8285887341005"/>
        <w:gridCol w:w="1465.6814052089644"/>
        <w:gridCol w:w="3307.425802543913"/>
        <w:tblGridChange w:id="0">
          <w:tblGrid>
            <w:gridCol w:w="2010"/>
            <w:gridCol w:w="975"/>
            <w:gridCol w:w="1272.8285887341005"/>
            <w:gridCol w:w="1465.6814052089644"/>
            <w:gridCol w:w="3307.425802543913"/>
          </w:tblGrid>
        </w:tblGridChange>
      </w:tblGrid>
      <w:tr>
        <w:trPr>
          <w:trHeight w:val="81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 or 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T085 Manual Annotation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T085M1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defining the requirements for the manual annotation of corpus search results, based on input from a set of use cases.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T085D2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manual search result annotation, based on BlackLab and the BlackLab corpus frontend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6b8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T005D2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describing T085D2 and its application to use cases.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manjavacas/cosycat/wiki/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kHf/pwou5g8FIbRePTQqqIclg==">AMUW2mX5+Yi6xEkSzK/YTgKEjAIeXGf5NHu9Rs4nEaJtTydEtOjP7OU5/jFuZdT+f2R1tV9TrYBU2Kpqu9bH+ZAVrRrMqpmecpR5Y5F4YDBVlTQLs9t8yPbwVlK+ormLIL+78puxmmcQ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