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7C" w:rsidRPr="0071137C" w:rsidRDefault="0071137C" w:rsidP="0071137C">
      <w:pPr>
        <w:jc w:val="center"/>
        <w:rPr>
          <w:sz w:val="36"/>
          <w:szCs w:val="36"/>
        </w:rPr>
      </w:pPr>
      <w:r w:rsidRPr="0071137C">
        <w:rPr>
          <w:sz w:val="36"/>
          <w:szCs w:val="36"/>
        </w:rPr>
        <w:t>BM 538</w:t>
      </w:r>
    </w:p>
    <w:p w:rsidR="0071137C" w:rsidRPr="0071137C" w:rsidRDefault="0071137C" w:rsidP="0071137C">
      <w:pPr>
        <w:jc w:val="center"/>
        <w:rPr>
          <w:sz w:val="36"/>
          <w:szCs w:val="36"/>
        </w:rPr>
      </w:pPr>
      <w:r w:rsidRPr="0071137C">
        <w:rPr>
          <w:sz w:val="36"/>
          <w:szCs w:val="36"/>
        </w:rPr>
        <w:t>Computational Neuroscience</w:t>
      </w:r>
    </w:p>
    <w:p w:rsidR="0071137C" w:rsidRPr="0071137C" w:rsidRDefault="0071137C" w:rsidP="0071137C">
      <w:pPr>
        <w:jc w:val="center"/>
        <w:rPr>
          <w:sz w:val="36"/>
          <w:szCs w:val="36"/>
        </w:rPr>
      </w:pPr>
    </w:p>
    <w:p w:rsidR="0071137C" w:rsidRPr="0071137C" w:rsidRDefault="0071137C" w:rsidP="0071137C">
      <w:pPr>
        <w:jc w:val="center"/>
        <w:rPr>
          <w:sz w:val="36"/>
          <w:szCs w:val="36"/>
        </w:rPr>
      </w:pPr>
      <w:r w:rsidRPr="0071137C">
        <w:rPr>
          <w:sz w:val="36"/>
          <w:szCs w:val="36"/>
        </w:rPr>
        <w:t>Project 4</w:t>
      </w:r>
    </w:p>
    <w:p w:rsidR="0071137C" w:rsidRDefault="0071137C" w:rsidP="0071137C">
      <w:pPr>
        <w:jc w:val="center"/>
        <w:rPr>
          <w:sz w:val="36"/>
          <w:szCs w:val="36"/>
        </w:rPr>
      </w:pPr>
      <w:r w:rsidRPr="0071137C">
        <w:rPr>
          <w:sz w:val="36"/>
          <w:szCs w:val="36"/>
        </w:rPr>
        <w:t>Neural Data Analysis: Encoding</w:t>
      </w: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Experimentor:</w:t>
      </w:r>
    </w:p>
    <w:p w:rsidR="0071137C" w:rsidRDefault="0071137C" w:rsidP="0071137C">
      <w:pPr>
        <w:jc w:val="center"/>
        <w:rPr>
          <w:sz w:val="36"/>
          <w:szCs w:val="36"/>
        </w:rPr>
      </w:pPr>
      <w:r>
        <w:rPr>
          <w:sz w:val="36"/>
          <w:szCs w:val="36"/>
        </w:rPr>
        <w:t>Kerem Kurban</w:t>
      </w: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:rsidR="0071137C" w:rsidRDefault="0071137C" w:rsidP="0071137C">
      <w:pPr>
        <w:jc w:val="center"/>
        <w:rPr>
          <w:sz w:val="36"/>
          <w:szCs w:val="36"/>
        </w:rPr>
      </w:pPr>
      <w:r>
        <w:rPr>
          <w:sz w:val="36"/>
          <w:szCs w:val="36"/>
        </w:rPr>
        <w:t>Sevgi Öztürk</w:t>
      </w:r>
    </w:p>
    <w:p w:rsidR="0071137C" w:rsidRDefault="0071137C" w:rsidP="0071137C">
      <w:pPr>
        <w:jc w:val="center"/>
        <w:rPr>
          <w:sz w:val="36"/>
          <w:szCs w:val="36"/>
        </w:rPr>
      </w:pPr>
      <w:r>
        <w:rPr>
          <w:sz w:val="36"/>
          <w:szCs w:val="36"/>
        </w:rPr>
        <w:t>Burak Güçlü</w:t>
      </w: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jc w:val="center"/>
        <w:rPr>
          <w:sz w:val="36"/>
          <w:szCs w:val="36"/>
        </w:rPr>
      </w:pPr>
    </w:p>
    <w:p w:rsidR="0071137C" w:rsidRDefault="0071137C" w:rsidP="0071137C">
      <w:pPr>
        <w:rPr>
          <w:b/>
          <w:sz w:val="24"/>
          <w:szCs w:val="24"/>
        </w:rPr>
      </w:pPr>
      <w:r w:rsidRPr="00F071E3">
        <w:rPr>
          <w:b/>
          <w:sz w:val="24"/>
          <w:szCs w:val="24"/>
        </w:rPr>
        <w:lastRenderedPageBreak/>
        <w:t>Results</w:t>
      </w:r>
    </w:p>
    <w:p w:rsidR="008F1DF9" w:rsidRDefault="00F071E3" w:rsidP="007C58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aim of this project was to find the tuned neurons for a certain direction in the motor cortex of the macaque monkey by utilizing raster and peri-stimulus time histogram plots. The data was enormous therefore only a few of them will we shown in this report. In </w:t>
      </w:r>
      <w:r>
        <w:rPr>
          <w:i/>
          <w:sz w:val="24"/>
          <w:szCs w:val="24"/>
        </w:rPr>
        <w:t>figure 1</w:t>
      </w:r>
      <w:r>
        <w:rPr>
          <w:sz w:val="24"/>
          <w:szCs w:val="24"/>
        </w:rPr>
        <w:t>, the raster plot of channel 77-2 is plotted, for both 0.5 sec before and after the ‘go’ cue and 0-1 sec interval.</w:t>
      </w:r>
      <w:r w:rsidR="008F1DF9">
        <w:rPr>
          <w:sz w:val="24"/>
          <w:szCs w:val="24"/>
        </w:rPr>
        <w:t xml:space="preserve"> We can differentiate the direction the neuron more responsive by looking the densities in each plot. There seems to be a increased density in the bottom right side.</w:t>
      </w:r>
      <w:r>
        <w:rPr>
          <w:sz w:val="24"/>
          <w:szCs w:val="24"/>
        </w:rPr>
        <w:t xml:space="preserve"> </w:t>
      </w:r>
    </w:p>
    <w:p w:rsidR="00F071E3" w:rsidRPr="007C58CD" w:rsidRDefault="00F071E3" w:rsidP="007C58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However, this is not a good representation in understanding a neuron’s response to a certain direction. To get a better visualization, the data is divided into bins and the activation in each bin is shown in histogram like in the second row of the same figure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98432B">
        <w:rPr>
          <w:sz w:val="24"/>
          <w:szCs w:val="24"/>
        </w:rPr>
        <w:t xml:space="preserve">We can see the </w:t>
      </w:r>
      <w:r w:rsidR="008F1DF9">
        <w:rPr>
          <w:sz w:val="24"/>
          <w:szCs w:val="24"/>
        </w:rPr>
        <w:t>increase in firing rate in  the same region (bottomright) and also there is an activation before go-cue comes, therefore supporting the hypothesis given in the book. B</w:t>
      </w:r>
      <w:r>
        <w:rPr>
          <w:sz w:val="24"/>
          <w:szCs w:val="24"/>
        </w:rPr>
        <w:t>y plotting the tuning curve, we can quantitatively visualize the exact angle where the neuron fired, which is appearently 281 degrees clockwise</w:t>
      </w:r>
      <w:r w:rsidR="008F1DF9">
        <w:rPr>
          <w:sz w:val="24"/>
          <w:szCs w:val="24"/>
        </w:rPr>
        <w:t xml:space="preserve"> for the first figure</w:t>
      </w:r>
      <w:r w:rsidR="0098432B">
        <w:rPr>
          <w:sz w:val="24"/>
          <w:szCs w:val="24"/>
        </w:rPr>
        <w:t>. We can fit a function to the data in the tuning curve</w:t>
      </w:r>
      <w:r w:rsidR="0064138F">
        <w:rPr>
          <w:sz w:val="24"/>
          <w:szCs w:val="24"/>
        </w:rPr>
        <w:t>. Cosine function seems to be a good fit, with a mean error rates as low as 10</w:t>
      </w:r>
      <w:r w:rsidR="0064138F">
        <w:rPr>
          <w:sz w:val="24"/>
          <w:szCs w:val="24"/>
          <w:vertAlign w:val="superscript"/>
        </w:rPr>
        <w:t>-12</w:t>
      </w:r>
      <w:r w:rsidR="0064138F">
        <w:rPr>
          <w:sz w:val="24"/>
          <w:szCs w:val="24"/>
        </w:rPr>
        <w:t>. Tuning curves seem to be independent with respect to time points since the minimum and maximum firing rates are in the same region and the fitted function a</w:t>
      </w:r>
      <w:r w:rsidR="008F1DF9">
        <w:rPr>
          <w:sz w:val="24"/>
          <w:szCs w:val="24"/>
        </w:rPr>
        <w:t>s well as its mean error rate are</w:t>
      </w:r>
      <w:r w:rsidR="0064138F">
        <w:rPr>
          <w:sz w:val="24"/>
          <w:szCs w:val="24"/>
        </w:rPr>
        <w:t xml:space="preserve"> similar</w:t>
      </w:r>
      <w:r w:rsidR="007C58CD">
        <w:rPr>
          <w:sz w:val="24"/>
          <w:szCs w:val="24"/>
        </w:rPr>
        <w:t xml:space="preserve">. In </w:t>
      </w:r>
      <w:r w:rsidR="007C58CD">
        <w:rPr>
          <w:i/>
          <w:sz w:val="24"/>
          <w:szCs w:val="24"/>
        </w:rPr>
        <w:t>figure 2</w:t>
      </w:r>
      <w:r w:rsidR="007C58CD">
        <w:rPr>
          <w:sz w:val="24"/>
          <w:szCs w:val="24"/>
        </w:rPr>
        <w:t>, we can see another channel where the tuning curves’ preffered direction is 304 and 316 degrees respectiveley which is at the same category among the 6 categories in 360 degrees</w:t>
      </w:r>
      <w:r w:rsidR="008F1DF9">
        <w:rPr>
          <w:sz w:val="24"/>
          <w:szCs w:val="24"/>
        </w:rPr>
        <w:t>, hence not different.</w:t>
      </w: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  <w:bookmarkStart w:id="0" w:name="_GoBack"/>
      <w:bookmarkEnd w:id="0"/>
    </w:p>
    <w:p w:rsidR="00F071E3" w:rsidRDefault="00F071E3" w:rsidP="0071137C">
      <w:pPr>
        <w:rPr>
          <w:sz w:val="24"/>
          <w:szCs w:val="24"/>
        </w:rPr>
      </w:pPr>
    </w:p>
    <w:p w:rsidR="00F071E3" w:rsidRDefault="00F071E3" w:rsidP="0071137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164.25pt">
            <v:imagedata r:id="rId5" o:title="77-2 raster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2828925" cy="2121694"/>
            <wp:effectExtent l="0" t="0" r="0" b="0"/>
            <wp:docPr id="2" name="Picture 2" descr="C:\Users\Kerem\AppData\Local\Microsoft\Windows\INetCache\Content.Word\77-2 rast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erem\AppData\Local\Microsoft\Windows\INetCache\Content.Word\77-2 raster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96" cy="21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E3" w:rsidRDefault="00F071E3" w:rsidP="0071137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07.75pt;height:156pt">
            <v:imagedata r:id="rId7" o:title="77-2 go cue half"/>
          </v:shape>
        </w:pict>
      </w: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2476500" cy="1857375"/>
            <wp:effectExtent l="0" t="0" r="0" b="9525"/>
            <wp:docPr id="3" name="Picture 3" descr="C:\Users\Kerem\Desktop\computational neuroscience\project 4\data\77-2 go cu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Kerem\Desktop\computational neuroscience\project 4\data\77-2 go cue 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E3" w:rsidRDefault="00F071E3" w:rsidP="00F071E3">
      <w:pPr>
        <w:keepNext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pict>
          <v:shape id="_x0000_i1026" type="#_x0000_t75" style="width:207.75pt;height:156pt">
            <v:imagedata r:id="rId9" o:title="77-2 tuning"/>
          </v:shape>
        </w:pic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pict>
          <v:shape id="_x0000_i1027" type="#_x0000_t75" style="width:207.75pt;height:156pt">
            <v:imagedata r:id="rId10" o:title="77-2 tuning-01"/>
          </v:shape>
        </w:pict>
      </w:r>
    </w:p>
    <w:p w:rsidR="0071137C" w:rsidRDefault="00F071E3" w:rsidP="00F071E3">
      <w:pPr>
        <w:pStyle w:val="Caption"/>
        <w:jc w:val="center"/>
        <w:rPr>
          <w:sz w:val="24"/>
          <w:szCs w:val="24"/>
        </w:rPr>
      </w:pPr>
      <w:r>
        <w:t>Figure 1: Raster plot , psth and Tuning curves of neuron 77-2. In Psth, 0 indicates the time of the go cue</w:t>
      </w:r>
    </w:p>
    <w:p w:rsidR="0071137C" w:rsidRDefault="0071137C" w:rsidP="0071137C">
      <w:pPr>
        <w:rPr>
          <w:sz w:val="24"/>
          <w:szCs w:val="24"/>
        </w:rPr>
      </w:pPr>
    </w:p>
    <w:p w:rsidR="0098432B" w:rsidRDefault="0098432B" w:rsidP="0071137C">
      <w:pPr>
        <w:rPr>
          <w:sz w:val="24"/>
          <w:szCs w:val="24"/>
        </w:rPr>
      </w:pPr>
    </w:p>
    <w:p w:rsidR="0098432B" w:rsidRDefault="0098432B" w:rsidP="0071137C">
      <w:pPr>
        <w:rPr>
          <w:sz w:val="24"/>
          <w:szCs w:val="24"/>
        </w:rPr>
      </w:pPr>
    </w:p>
    <w:p w:rsidR="0098432B" w:rsidRDefault="0064138F" w:rsidP="0071137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226.5pt;height:170.25pt">
            <v:imagedata r:id="rId11" o:title="raster 01"/>
          </v:shape>
        </w:pict>
      </w:r>
      <w:r>
        <w:rPr>
          <w:sz w:val="24"/>
          <w:szCs w:val="24"/>
        </w:rPr>
        <w:pict>
          <v:shape id="_x0000_i1030" type="#_x0000_t75" style="width:218.25pt;height:163.5pt">
            <v:imagedata r:id="rId12" o:title="raster half"/>
          </v:shape>
        </w:pict>
      </w:r>
      <w:r w:rsidR="007C58CD">
        <w:rPr>
          <w:noProof/>
          <w:sz w:val="24"/>
          <w:szCs w:val="24"/>
        </w:rPr>
        <w:drawing>
          <wp:inline distT="0" distB="0" distL="0" distR="0">
            <wp:extent cx="2781300" cy="2085975"/>
            <wp:effectExtent l="0" t="0" r="0" b="9525"/>
            <wp:docPr id="5" name="Picture 5" descr="C:\Users\Kerem\AppData\Local\Microsoft\Windows\INetCache\Content.Word\psth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Kerem\AppData\Local\Microsoft\Windows\INetCache\Content.Word\psth 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8CD">
        <w:rPr>
          <w:noProof/>
          <w:sz w:val="24"/>
          <w:szCs w:val="24"/>
        </w:rPr>
        <w:drawing>
          <wp:inline distT="0" distB="0" distL="0" distR="0">
            <wp:extent cx="2867025" cy="2152650"/>
            <wp:effectExtent l="0" t="0" r="9525" b="0"/>
            <wp:docPr id="6" name="Picture 6" descr="C:\Users\Kerem\AppData\Local\Microsoft\Windows\INetCache\Content.Word\psth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Kerem\AppData\Local\Microsoft\Windows\INetCache\Content.Word\psth hal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pict>
          <v:shape id="_x0000_i1031" type="#_x0000_t75" style="width:226.5pt;height:169.5pt">
            <v:imagedata r:id="rId15" o:title="tuning half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2806700" cy="2105025"/>
            <wp:effectExtent l="0" t="0" r="0" b="9525"/>
            <wp:docPr id="4" name="Picture 4" descr="C:\Users\Kerem\AppData\Local\Microsoft\Windows\INetCache\Content.Word\tu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Kerem\AppData\Local\Microsoft\Windows\INetCache\Content.Word\tun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8F" w:rsidRDefault="0064138F" w:rsidP="0064138F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t>2</w:t>
      </w:r>
      <w:r>
        <w:t xml:space="preserve">: Raster plot , psth and Tuning curves of neuron </w:t>
      </w:r>
      <w:r>
        <w:t>115</w:t>
      </w:r>
      <w:r>
        <w:t>-</w:t>
      </w:r>
      <w:r>
        <w:t>1</w:t>
      </w:r>
      <w:r>
        <w:t>. In Psth, 0 indicates the time of the go cue</w:t>
      </w:r>
    </w:p>
    <w:p w:rsidR="0064138F" w:rsidRPr="0071137C" w:rsidRDefault="0064138F" w:rsidP="0071137C">
      <w:pPr>
        <w:rPr>
          <w:sz w:val="24"/>
          <w:szCs w:val="24"/>
        </w:rPr>
      </w:pPr>
    </w:p>
    <w:sectPr w:rsidR="0064138F" w:rsidRPr="00711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67"/>
    <w:rsid w:val="00117F67"/>
    <w:rsid w:val="0064138F"/>
    <w:rsid w:val="006C479C"/>
    <w:rsid w:val="0071137C"/>
    <w:rsid w:val="00725A06"/>
    <w:rsid w:val="007C58CD"/>
    <w:rsid w:val="008F1DF9"/>
    <w:rsid w:val="00954E14"/>
    <w:rsid w:val="0098432B"/>
    <w:rsid w:val="00F0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71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71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</dc:creator>
  <cp:lastModifiedBy>Kerem</cp:lastModifiedBy>
  <cp:revision>2</cp:revision>
  <dcterms:created xsi:type="dcterms:W3CDTF">2017-11-13T03:29:00Z</dcterms:created>
  <dcterms:modified xsi:type="dcterms:W3CDTF">2017-11-16T15:05:00Z</dcterms:modified>
</cp:coreProperties>
</file>