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C0392B"/>
          <w:sz w:val="32"/>
          <w:szCs w:val="32"/>
        </w:rPr>
        <w:t xml:space="preserve">MINEDUC</w:t>
      </w:r>
    </w:p>
    <w:p>
      <w:pPr>
        <w:spacing w:after="400"/>
        <w:jc w:val="center"/>
      </w:pPr>
      <w:r>
        <w:rPr>
          <w:color w:val="2C2C2C"/>
          <w:sz w:val="26"/>
          <w:szCs w:val="26"/>
        </w:rPr>
        <w:t xml:space="preserve">Sistema de Información y Gestión de Casos (SIGEC)</w:t>
      </w:r>
    </w:p>
    <w:p>
      <w:pPr>
        <w:spacing w:after="200" w:before="600"/>
        <w:jc w:val="center"/>
      </w:pPr>
      <w:r>
        <w:rPr>
          <w:b/>
          <w:bCs/>
          <w:color w:val="6D6D6D"/>
          <w:sz w:val="24"/>
          <w:szCs w:val="24"/>
        </w:rPr>
        <w:t xml:space="preserve">DOC-05</w:t>
      </w:r>
    </w:p>
    <w:p>
      <w:pPr>
        <w:spacing w:after="800"/>
        <w:jc w:val="center"/>
      </w:pPr>
      <w:r>
        <w:rPr>
          <w:b/>
          <w:bCs/>
          <w:color w:val="C0392B"/>
          <w:sz w:val="44"/>
          <w:szCs w:val="44"/>
        </w:rPr>
        <w:t xml:space="preserve">Procedimientos de Instalación, Configuración y Despliegue</w:t>
      </w:r>
    </w:p>
    <w:p>
      <w:pPr>
        <w:spacing w:after="1200"/>
        <w:jc w:val="center"/>
      </w:pPr>
      <w:r>
        <w:rPr>
          <w:i/>
          <w:iCs/>
          <w:color w:val="2C2C2C"/>
          <w:sz w:val="24"/>
          <w:szCs w:val="24"/>
        </w:rPr>
        <w:t xml:space="preserve">SIGEC - Sistema de Información y Gestión de Casos de Embarazo en Niñas y Adolescentes</w:t>
      </w:r>
    </w:p>
    <w:p>
      <w:pPr>
        <w:jc w:val="center"/>
      </w:pPr>
      <w:r>
        <w:rPr>
          <w:color w:val="6D6D6D"/>
          <w:sz w:val="20"/>
          <w:szCs w:val="20"/>
        </w:rPr>
        <w:t xml:space="preserve">Versión 1.0</w:t>
      </w:r>
    </w:p>
    <w:p>
      <w:pPr>
        <w:spacing w:after="2000"/>
        <w:jc w:val="center"/>
      </w:pPr>
      <w:r>
        <w:rPr>
          <w:color w:val="6D6D6D"/>
          <w:sz w:val="20"/>
          <w:szCs w:val="20"/>
        </w:rPr>
        <w:t xml:space="preserve">12 de junio de 2026</w:t>
      </w:r>
    </w:p>
    <w:p>
      <w:r>
        <w:br w:type="page"/>
      </w:r>
    </w:p>
    <w:p>
      <w:pPr>
        <w:pStyle w:val="Heading1"/>
        <w:spacing w:after="160" w:before="320"/>
      </w:pPr>
      <w:r>
        <w:rPr>
          <w:b/>
          <w:bCs/>
          <w:color w:val="C0392B"/>
        </w:rPr>
        <w:t xml:space="preserve">1. Introducción</w:t>
      </w:r>
    </w:p>
    <w:p>
      <w:pPr>
        <w:spacing w:after="120"/>
      </w:pPr>
      <w:r>
        <w:t xml:space="preserve">Este documento describe los procedimientos para instalar, configurar y desplegar el sistema SIGEC, tanto en un entorno de desarrollo local como en un entorno de producción mediante contenedores Docker. Aplica a los dos componentes principales del sistema: el backend (API REST) y el frontend (SPA).</w:t>
      </w:r>
    </w:p>
    <w:p>
      <w:pPr>
        <w:pStyle w:val="Heading1"/>
        <w:spacing w:after="160" w:before="320"/>
      </w:pPr>
      <w:r>
        <w:rPr>
          <w:b/>
          <w:bCs/>
          <w:color w:val="C0392B"/>
        </w:rPr>
        <w:t xml:space="preserve">2. Requisitos Previos</w:t>
      </w:r>
    </w:p>
    <w:tbl>
      <w:tblPr>
        <w:tblW w:type="pct" w:w="100%"/>
        <w:tblBorders>
          <w:top w:val="single" w:color="CCCCCC" w:sz="1"/>
          <w:left w:val="single" w:color="CCCCCC" w:sz="1"/>
          <w:bottom w:val="single" w:color="CCCCCC" w:sz="1"/>
          <w:right w:val="single" w:color="CCCCCC" w:sz="1"/>
          <w:insideH w:val="single" w:color="DDDDDD" w:sz="1"/>
          <w:insideV w:val="single" w:color="DDDDDD" w:sz="1"/>
        </w:tblBorders>
      </w:tblPr>
      <w:tblGrid>
        <w:gridCol w:w="100"/>
        <w:gridCol w:w="100"/>
      </w:tblGrid>
      <w:tr>
        <w:trPr>
          <w:tblHeader/>
        </w:trPr>
        <w:tc>
          <w:tcPr>
            <w:tcW w:type="pct" w:w="30%"/>
            <w:shd w:fill="C0392B" w:val="clear"/>
            <w:tcMar>
              <w:top w:type="dxa" w:w="60"/>
              <w:left w:type="dxa" w:w="100"/>
              <w:bottom w:type="dxa" w:w="60"/>
              <w:right w:type="dxa" w:w="100"/>
            </w:tcMar>
            <w:vAlign w:val="center"/>
          </w:tcPr>
          <w:p>
            <w:r>
              <w:rPr>
                <w:b/>
                <w:bCs/>
                <w:color w:val="FFFFFF"/>
                <w:sz w:val="20"/>
                <w:szCs w:val="20"/>
              </w:rPr>
              <w:t xml:space="preserve">Requisito</w:t>
            </w:r>
          </w:p>
        </w:tc>
        <w:tc>
          <w:tcPr>
            <w:tcW w:type="pct" w:w="70%"/>
            <w:shd w:fill="C0392B" w:val="clear"/>
            <w:tcMar>
              <w:top w:type="dxa" w:w="60"/>
              <w:left w:type="dxa" w:w="100"/>
              <w:bottom w:type="dxa" w:w="60"/>
              <w:right w:type="dxa" w:w="100"/>
            </w:tcMar>
            <w:vAlign w:val="center"/>
          </w:tcPr>
          <w:p>
            <w:r>
              <w:rPr>
                <w:b/>
                <w:bCs/>
                <w:color w:val="FFFFFF"/>
                <w:sz w:val="20"/>
                <w:szCs w:val="20"/>
              </w:rPr>
              <w:t xml:space="preserve">Versión / Detalle</w:t>
            </w:r>
          </w:p>
        </w:tc>
      </w:tr>
      <w:tr>
        <w:tc>
          <w:tcPr>
            <w:tcW w:type="pct" w:w="30%"/>
            <w:tcMar>
              <w:top w:type="dxa" w:w="60"/>
              <w:left w:type="dxa" w:w="100"/>
              <w:bottom w:type="dxa" w:w="60"/>
              <w:right w:type="dxa" w:w="100"/>
            </w:tcMar>
            <w:vAlign w:val="center"/>
          </w:tcPr>
          <w:p>
            <w:r>
              <w:rPr>
                <w:b w:val="false"/>
                <w:bCs w:val="false"/>
                <w:color w:val="2C2C2C"/>
                <w:sz w:val="19"/>
                <w:szCs w:val="19"/>
              </w:rPr>
              <w:t xml:space="preserve">Node.js</w:t>
            </w:r>
          </w:p>
        </w:tc>
        <w:tc>
          <w:tcPr>
            <w:tcW w:type="pct" w:w="70%"/>
            <w:tcMar>
              <w:top w:type="dxa" w:w="60"/>
              <w:left w:type="dxa" w:w="100"/>
              <w:bottom w:type="dxa" w:w="60"/>
              <w:right w:type="dxa" w:w="100"/>
            </w:tcMar>
            <w:vAlign w:val="center"/>
          </w:tcPr>
          <w:p>
            <w:r>
              <w:rPr>
                <w:b w:val="false"/>
                <w:bCs w:val="false"/>
                <w:color w:val="2C2C2C"/>
                <w:sz w:val="19"/>
                <w:szCs w:val="19"/>
              </w:rPr>
              <w:t xml:space="preserve">20.19.0 o superior (o 22.12.0+) — definido en frontend/package.json (engines).</w:t>
            </w:r>
          </w:p>
        </w:tc>
      </w:tr>
      <w:tr>
        <w:tc>
          <w:tcPr>
            <w:tcW w:type="pct" w:w="30%"/>
            <w:tcMar>
              <w:top w:type="dxa" w:w="60"/>
              <w:left w:type="dxa" w:w="100"/>
              <w:bottom w:type="dxa" w:w="60"/>
              <w:right w:type="dxa" w:w="100"/>
            </w:tcMar>
            <w:vAlign w:val="center"/>
          </w:tcPr>
          <w:p>
            <w:r>
              <w:rPr>
                <w:b w:val="false"/>
                <w:bCs w:val="false"/>
                <w:color w:val="2C2C2C"/>
                <w:sz w:val="19"/>
                <w:szCs w:val="19"/>
              </w:rPr>
              <w:t xml:space="preserve">npm</w:t>
            </w:r>
          </w:p>
        </w:tc>
        <w:tc>
          <w:tcPr>
            <w:tcW w:type="pct" w:w="70%"/>
            <w:tcMar>
              <w:top w:type="dxa" w:w="60"/>
              <w:left w:type="dxa" w:w="100"/>
              <w:bottom w:type="dxa" w:w="60"/>
              <w:right w:type="dxa" w:w="100"/>
            </w:tcMar>
            <w:vAlign w:val="center"/>
          </w:tcPr>
          <w:p>
            <w:r>
              <w:rPr>
                <w:b w:val="false"/>
                <w:bCs w:val="false"/>
                <w:color w:val="2C2C2C"/>
                <w:sz w:val="19"/>
                <w:szCs w:val="19"/>
              </w:rPr>
              <w:t xml:space="preserve">Incluido con Node.js.</w:t>
            </w:r>
          </w:p>
        </w:tc>
      </w:tr>
      <w:tr>
        <w:tc>
          <w:tcPr>
            <w:tcW w:type="pct" w:w="30%"/>
            <w:tcMar>
              <w:top w:type="dxa" w:w="60"/>
              <w:left w:type="dxa" w:w="100"/>
              <w:bottom w:type="dxa" w:w="60"/>
              <w:right w:type="dxa" w:w="100"/>
            </w:tcMar>
            <w:vAlign w:val="center"/>
          </w:tcPr>
          <w:p>
            <w:r>
              <w:rPr>
                <w:b w:val="false"/>
                <w:bCs w:val="false"/>
                <w:color w:val="2C2C2C"/>
                <w:sz w:val="19"/>
                <w:szCs w:val="19"/>
              </w:rPr>
              <w:t xml:space="preserve">MySQL</w:t>
            </w:r>
          </w:p>
        </w:tc>
        <w:tc>
          <w:tcPr>
            <w:tcW w:type="pct" w:w="70%"/>
            <w:tcMar>
              <w:top w:type="dxa" w:w="60"/>
              <w:left w:type="dxa" w:w="100"/>
              <w:bottom w:type="dxa" w:w="60"/>
              <w:right w:type="dxa" w:w="100"/>
            </w:tcMar>
            <w:vAlign w:val="center"/>
          </w:tcPr>
          <w:p>
            <w:r>
              <w:rPr>
                <w:b w:val="false"/>
                <w:bCs w:val="false"/>
                <w:color w:val="2C2C2C"/>
                <w:sz w:val="19"/>
                <w:szCs w:val="19"/>
              </w:rPr>
              <w:t xml:space="preserve">Versión 8.x, con una base de datos creada para el sistema.</w:t>
            </w:r>
          </w:p>
        </w:tc>
      </w:tr>
      <w:tr>
        <w:tc>
          <w:tcPr>
            <w:tcW w:type="pct" w:w="30%"/>
            <w:tcMar>
              <w:top w:type="dxa" w:w="60"/>
              <w:left w:type="dxa" w:w="100"/>
              <w:bottom w:type="dxa" w:w="60"/>
              <w:right w:type="dxa" w:w="100"/>
            </w:tcMar>
            <w:vAlign w:val="center"/>
          </w:tcPr>
          <w:p>
            <w:r>
              <w:rPr>
                <w:b w:val="false"/>
                <w:bCs w:val="false"/>
                <w:color w:val="2C2C2C"/>
                <w:sz w:val="19"/>
                <w:szCs w:val="19"/>
              </w:rPr>
              <w:t xml:space="preserve">Docker y Docker Compose</w:t>
            </w:r>
          </w:p>
        </w:tc>
        <w:tc>
          <w:tcPr>
            <w:tcW w:type="pct" w:w="70%"/>
            <w:tcMar>
              <w:top w:type="dxa" w:w="60"/>
              <w:left w:type="dxa" w:w="100"/>
              <w:bottom w:type="dxa" w:w="60"/>
              <w:right w:type="dxa" w:w="100"/>
            </w:tcMar>
            <w:vAlign w:val="center"/>
          </w:tcPr>
          <w:p>
            <w:r>
              <w:rPr>
                <w:b w:val="false"/>
                <w:bCs w:val="false"/>
                <w:color w:val="2C2C2C"/>
                <w:sz w:val="19"/>
                <w:szCs w:val="19"/>
              </w:rPr>
              <w:t xml:space="preserve">Requeridos para el despliegue mediante contenedores.</w:t>
            </w:r>
          </w:p>
        </w:tc>
      </w:tr>
      <w:tr>
        <w:tc>
          <w:tcPr>
            <w:tcW w:type="pct" w:w="30%"/>
            <w:tcMar>
              <w:top w:type="dxa" w:w="60"/>
              <w:left w:type="dxa" w:w="100"/>
              <w:bottom w:type="dxa" w:w="60"/>
              <w:right w:type="dxa" w:w="100"/>
            </w:tcMar>
            <w:vAlign w:val="center"/>
          </w:tcPr>
          <w:p>
            <w:r>
              <w:rPr>
                <w:b w:val="false"/>
                <w:bCs w:val="false"/>
                <w:color w:val="2C2C2C"/>
                <w:sz w:val="19"/>
                <w:szCs w:val="19"/>
              </w:rPr>
              <w:t xml:space="preserve">Git</w:t>
            </w:r>
          </w:p>
        </w:tc>
        <w:tc>
          <w:tcPr>
            <w:tcW w:type="pct" w:w="70%"/>
            <w:tcMar>
              <w:top w:type="dxa" w:w="60"/>
              <w:left w:type="dxa" w:w="100"/>
              <w:bottom w:type="dxa" w:w="60"/>
              <w:right w:type="dxa" w:w="100"/>
            </w:tcMar>
            <w:vAlign w:val="center"/>
          </w:tcPr>
          <w:p>
            <w:r>
              <w:rPr>
                <w:b w:val="false"/>
                <w:bCs w:val="false"/>
                <w:color w:val="2C2C2C"/>
                <w:sz w:val="19"/>
                <w:szCs w:val="19"/>
              </w:rPr>
              <w:t xml:space="preserve">Para clonar el repositorio del proyecto.</w:t>
            </w:r>
          </w:p>
        </w:tc>
      </w:tr>
      <w:tr>
        <w:tc>
          <w:tcPr>
            <w:tcW w:type="pct" w:w="30%"/>
            <w:tcMar>
              <w:top w:type="dxa" w:w="60"/>
              <w:left w:type="dxa" w:w="100"/>
              <w:bottom w:type="dxa" w:w="60"/>
              <w:right w:type="dxa" w:w="100"/>
            </w:tcMar>
            <w:vAlign w:val="center"/>
          </w:tcPr>
          <w:p>
            <w:r>
              <w:rPr>
                <w:b w:val="false"/>
                <w:bCs w:val="false"/>
                <w:color w:val="2C2C2C"/>
                <w:sz w:val="19"/>
                <w:szCs w:val="19"/>
              </w:rPr>
              <w:t xml:space="preserve">Herramientas de compilación nativa</w:t>
            </w:r>
          </w:p>
        </w:tc>
        <w:tc>
          <w:tcPr>
            <w:tcW w:type="pct" w:w="70%"/>
            <w:tcMar>
              <w:top w:type="dxa" w:w="60"/>
              <w:left w:type="dxa" w:w="100"/>
              <w:bottom w:type="dxa" w:w="60"/>
              <w:right w:type="dxa" w:w="100"/>
            </w:tcMar>
            <w:vAlign w:val="center"/>
          </w:tcPr>
          <w:p>
            <w:r>
              <w:rPr>
                <w:b w:val="false"/>
                <w:bCs w:val="false"/>
                <w:color w:val="2C2C2C"/>
                <w:sz w:val="19"/>
                <w:szCs w:val="19"/>
              </w:rPr>
              <w:t xml:space="preserve">python3, make, g++ (necesarias para compilar dependencias nativas como bcrypt; ya incluidas en el Dockerfile del backend).</w:t>
            </w:r>
          </w:p>
        </w:tc>
      </w:tr>
    </w:tbl>
    <w:p>
      <w:r>
        <w:br w:type="page"/>
      </w:r>
    </w:p>
    <w:p>
      <w:pPr>
        <w:pStyle w:val="Heading1"/>
        <w:spacing w:after="160" w:before="320"/>
      </w:pPr>
      <w:r>
        <w:rPr>
          <w:b/>
          <w:bCs/>
          <w:color w:val="C0392B"/>
        </w:rPr>
        <w:t xml:space="preserve">3. Estructura General del Proyecto</w:t>
      </w:r>
    </w:p>
    <w:p>
      <w:pPr>
        <w:spacing w:after="120"/>
      </w:pPr>
      <w:r>
        <w:t xml:space="preserve">El repositorio se organiza en dos subproyectos independientes:</w:t>
      </w:r>
    </w:p>
    <w:p>
      <w:pPr>
        <w:pStyle w:val="ListParagraph"/>
        <w:numPr>
          <w:ilvl w:val="0"/>
          <w:numId w:val="1"/>
        </w:numPr>
        <w:spacing w:after="60"/>
      </w:pPr>
      <w:r>
        <w:t xml:space="preserve">backend/ : API REST en Node.js + Express 5 + Sequelize 6.</w:t>
      </w:r>
    </w:p>
    <w:p>
      <w:pPr>
        <w:pStyle w:val="ListParagraph"/>
        <w:numPr>
          <w:ilvl w:val="0"/>
          <w:numId w:val="1"/>
        </w:numPr>
        <w:spacing w:after="60"/>
      </w:pPr>
      <w:r>
        <w:t xml:space="preserve">frontend/ : SPA en Vue 3 + Vuetify 3 + Vite.</w:t>
      </w:r>
    </w:p>
    <w:p>
      <w:pPr>
        <w:pStyle w:val="ListParagraph"/>
        <w:numPr>
          <w:ilvl w:val="0"/>
          <w:numId w:val="1"/>
        </w:numPr>
        <w:spacing w:after="60"/>
      </w:pPr>
      <w:r>
        <w:t xml:space="preserve">nginx.conf : configuración de Nginx usada para servir el frontend en producción.</w:t>
      </w:r>
    </w:p>
    <w:p>
      <w:pPr>
        <w:pStyle w:val="Heading1"/>
        <w:spacing w:after="160" w:before="320"/>
      </w:pPr>
      <w:r>
        <w:rPr>
          <w:b/>
          <w:bCs/>
          <w:color w:val="C0392B"/>
        </w:rPr>
        <w:t xml:space="preserve">4. Configuración de Variables de Entorno</w:t>
      </w:r>
    </w:p>
    <w:p>
      <w:pPr>
        <w:spacing w:after="120"/>
      </w:pPr>
      <w:r>
        <w:t xml:space="preserve">Ambos subproyectos utilizan archivos .env para su configuración. Estos archivos no se versionan en el repositorio (excluidos mediante .gitignore) y deben crearse manualmente en cada entorno.</w:t>
      </w:r>
    </w:p>
    <w:p>
      <w:pPr>
        <w:pStyle w:val="Heading2"/>
        <w:spacing w:after="120" w:before="240"/>
      </w:pPr>
      <w:r>
        <w:rPr>
          <w:b/>
          <w:bCs/>
          <w:color w:val="2C2C2C"/>
        </w:rPr>
        <w:t xml:space="preserve">4.1 Backend (backend/.env.dev o backend/.env.prod)</w:t>
      </w:r>
    </w:p>
    <w:p>
      <w:pPr>
        <w:spacing w:after="120"/>
      </w:pPr>
      <w:r>
        <w:t xml:space="preserve">El backend carga el archivo .env.dev en desarrollo o .env.prod en producción, según el valor de NODE_ENV (ver backend/app.js y backend/server.js). Las variables requeridas son:</w:t>
      </w:r>
    </w:p>
    <w:tbl>
      <w:tblPr>
        <w:tblW w:type="pct" w:w="100%"/>
        <w:tblBorders>
          <w:top w:val="single" w:color="CCCCCC" w:sz="1"/>
          <w:left w:val="single" w:color="CCCCCC" w:sz="1"/>
          <w:bottom w:val="single" w:color="CCCCCC" w:sz="1"/>
          <w:right w:val="single" w:color="CCCCCC" w:sz="1"/>
          <w:insideH w:val="single" w:color="DDDDDD" w:sz="1"/>
          <w:insideV w:val="single" w:color="DDDDDD" w:sz="1"/>
        </w:tblBorders>
      </w:tblPr>
      <w:tblGrid>
        <w:gridCol w:w="100"/>
        <w:gridCol w:w="100"/>
      </w:tblGrid>
      <w:tr>
        <w:trPr>
          <w:tblHeader/>
        </w:trPr>
        <w:tc>
          <w:tcPr>
            <w:tcW w:type="pct" w:w="25%"/>
            <w:shd w:fill="C0392B" w:val="clear"/>
            <w:tcMar>
              <w:top w:type="dxa" w:w="60"/>
              <w:left w:type="dxa" w:w="100"/>
              <w:bottom w:type="dxa" w:w="60"/>
              <w:right w:type="dxa" w:w="100"/>
            </w:tcMar>
            <w:vAlign w:val="center"/>
          </w:tcPr>
          <w:p>
            <w:r>
              <w:rPr>
                <w:b/>
                <w:bCs/>
                <w:color w:val="FFFFFF"/>
                <w:sz w:val="20"/>
                <w:szCs w:val="20"/>
              </w:rPr>
              <w:t xml:space="preserve">Variable</w:t>
            </w:r>
          </w:p>
        </w:tc>
        <w:tc>
          <w:tcPr>
            <w:tcW w:type="pct" w:w="75%"/>
            <w:shd w:fill="C0392B" w:val="clear"/>
            <w:tcMar>
              <w:top w:type="dxa" w:w="60"/>
              <w:left w:type="dxa" w:w="100"/>
              <w:bottom w:type="dxa" w:w="60"/>
              <w:right w:type="dxa" w:w="100"/>
            </w:tcMar>
            <w:vAlign w:val="center"/>
          </w:tcPr>
          <w:p>
            <w:r>
              <w:rPr>
                <w:b/>
                <w:bCs/>
                <w:color w:val="FFFFFF"/>
                <w:sz w:val="20"/>
                <w:szCs w:val="20"/>
              </w:rPr>
              <w:t xml:space="preserve">Descripción</w:t>
            </w:r>
          </w:p>
        </w:tc>
      </w:tr>
      <w:tr>
        <w:tc>
          <w:tcPr>
            <w:tcW w:type="pct" w:w="25%"/>
            <w:tcMar>
              <w:top w:type="dxa" w:w="60"/>
              <w:left w:type="dxa" w:w="100"/>
              <w:bottom w:type="dxa" w:w="60"/>
              <w:right w:type="dxa" w:w="100"/>
            </w:tcMar>
            <w:vAlign w:val="center"/>
          </w:tcPr>
          <w:p>
            <w:r>
              <w:rPr>
                <w:b w:val="false"/>
                <w:bCs w:val="false"/>
                <w:color w:val="2C2C2C"/>
                <w:sz w:val="19"/>
                <w:szCs w:val="19"/>
              </w:rPr>
              <w:t xml:space="preserve">PORT</w:t>
            </w:r>
          </w:p>
        </w:tc>
        <w:tc>
          <w:tcPr>
            <w:tcW w:type="pct" w:w="75%"/>
            <w:tcMar>
              <w:top w:type="dxa" w:w="60"/>
              <w:left w:type="dxa" w:w="100"/>
              <w:bottom w:type="dxa" w:w="60"/>
              <w:right w:type="dxa" w:w="100"/>
            </w:tcMar>
            <w:vAlign w:val="center"/>
          </w:tcPr>
          <w:p>
            <w:r>
              <w:rPr>
                <w:b w:val="false"/>
                <w:bCs w:val="false"/>
                <w:color w:val="2C2C2C"/>
                <w:sz w:val="19"/>
                <w:szCs w:val="19"/>
              </w:rPr>
              <w:t xml:space="preserve">Puerto en el que escucha el servidor Express (por ejemplo 3000).</w:t>
            </w:r>
          </w:p>
        </w:tc>
      </w:tr>
      <w:tr>
        <w:tc>
          <w:tcPr>
            <w:tcW w:type="pct" w:w="25%"/>
            <w:tcMar>
              <w:top w:type="dxa" w:w="60"/>
              <w:left w:type="dxa" w:w="100"/>
              <w:bottom w:type="dxa" w:w="60"/>
              <w:right w:type="dxa" w:w="100"/>
            </w:tcMar>
            <w:vAlign w:val="center"/>
          </w:tcPr>
          <w:p>
            <w:r>
              <w:rPr>
                <w:b w:val="false"/>
                <w:bCs w:val="false"/>
                <w:color w:val="2C2C2C"/>
                <w:sz w:val="19"/>
                <w:szCs w:val="19"/>
              </w:rPr>
              <w:t xml:space="preserve">NODE_ENV</w:t>
            </w:r>
          </w:p>
        </w:tc>
        <w:tc>
          <w:tcPr>
            <w:tcW w:type="pct" w:w="75%"/>
            <w:tcMar>
              <w:top w:type="dxa" w:w="60"/>
              <w:left w:type="dxa" w:w="100"/>
              <w:bottom w:type="dxa" w:w="60"/>
              <w:right w:type="dxa" w:w="100"/>
            </w:tcMar>
            <w:vAlign w:val="center"/>
          </w:tcPr>
          <w:p>
            <w:r>
              <w:rPr>
                <w:b w:val="false"/>
                <w:bCs w:val="false"/>
                <w:color w:val="2C2C2C"/>
                <w:sz w:val="19"/>
                <w:szCs w:val="19"/>
              </w:rPr>
              <w:t xml:space="preserve">Entorno de ejecución: development, test o production. Determina qué archivo .env se carga y qué configuración de Sequelize se usa (config/config.cjs).</w:t>
            </w:r>
          </w:p>
        </w:tc>
      </w:tr>
      <w:tr>
        <w:tc>
          <w:tcPr>
            <w:tcW w:type="pct" w:w="25%"/>
            <w:tcMar>
              <w:top w:type="dxa" w:w="60"/>
              <w:left w:type="dxa" w:w="100"/>
              <w:bottom w:type="dxa" w:w="60"/>
              <w:right w:type="dxa" w:w="100"/>
            </w:tcMar>
            <w:vAlign w:val="center"/>
          </w:tcPr>
          <w:p>
            <w:r>
              <w:rPr>
                <w:b w:val="false"/>
                <w:bCs w:val="false"/>
                <w:color w:val="2C2C2C"/>
                <w:sz w:val="19"/>
                <w:szCs w:val="19"/>
              </w:rPr>
              <w:t xml:space="preserve">CLIENT_URL</w:t>
            </w:r>
          </w:p>
        </w:tc>
        <w:tc>
          <w:tcPr>
            <w:tcW w:type="pct" w:w="75%"/>
            <w:tcMar>
              <w:top w:type="dxa" w:w="60"/>
              <w:left w:type="dxa" w:w="100"/>
              <w:bottom w:type="dxa" w:w="60"/>
              <w:right w:type="dxa" w:w="100"/>
            </w:tcMar>
            <w:vAlign w:val="center"/>
          </w:tcPr>
          <w:p>
            <w:r>
              <w:rPr>
                <w:b w:val="false"/>
                <w:bCs w:val="false"/>
                <w:color w:val="2C2C2C"/>
                <w:sz w:val="19"/>
                <w:szCs w:val="19"/>
              </w:rPr>
              <w:t xml:space="preserve">URL del frontend permitida por la configuración CORS del backend.</w:t>
            </w:r>
          </w:p>
        </w:tc>
      </w:tr>
      <w:tr>
        <w:tc>
          <w:tcPr>
            <w:tcW w:type="pct" w:w="25%"/>
            <w:tcMar>
              <w:top w:type="dxa" w:w="60"/>
              <w:left w:type="dxa" w:w="100"/>
              <w:bottom w:type="dxa" w:w="60"/>
              <w:right w:type="dxa" w:w="100"/>
            </w:tcMar>
            <w:vAlign w:val="center"/>
          </w:tcPr>
          <w:p>
            <w:r>
              <w:rPr>
                <w:b w:val="false"/>
                <w:bCs w:val="false"/>
                <w:color w:val="2C2C2C"/>
                <w:sz w:val="19"/>
                <w:szCs w:val="19"/>
              </w:rPr>
              <w:t xml:space="preserve">DB_HOST</w:t>
            </w:r>
          </w:p>
        </w:tc>
        <w:tc>
          <w:tcPr>
            <w:tcW w:type="pct" w:w="75%"/>
            <w:tcMar>
              <w:top w:type="dxa" w:w="60"/>
              <w:left w:type="dxa" w:w="100"/>
              <w:bottom w:type="dxa" w:w="60"/>
              <w:right w:type="dxa" w:w="100"/>
            </w:tcMar>
            <w:vAlign w:val="center"/>
          </w:tcPr>
          <w:p>
            <w:r>
              <w:rPr>
                <w:b w:val="false"/>
                <w:bCs w:val="false"/>
                <w:color w:val="2C2C2C"/>
                <w:sz w:val="19"/>
                <w:szCs w:val="19"/>
              </w:rPr>
              <w:t xml:space="preserve">Host del servidor MySQL.</w:t>
            </w:r>
          </w:p>
        </w:tc>
      </w:tr>
      <w:tr>
        <w:tc>
          <w:tcPr>
            <w:tcW w:type="pct" w:w="25%"/>
            <w:tcMar>
              <w:top w:type="dxa" w:w="60"/>
              <w:left w:type="dxa" w:w="100"/>
              <w:bottom w:type="dxa" w:w="60"/>
              <w:right w:type="dxa" w:w="100"/>
            </w:tcMar>
            <w:vAlign w:val="center"/>
          </w:tcPr>
          <w:p>
            <w:r>
              <w:rPr>
                <w:b w:val="false"/>
                <w:bCs w:val="false"/>
                <w:color w:val="2C2C2C"/>
                <w:sz w:val="19"/>
                <w:szCs w:val="19"/>
              </w:rPr>
              <w:t xml:space="preserve">DB_PORT</w:t>
            </w:r>
          </w:p>
        </w:tc>
        <w:tc>
          <w:tcPr>
            <w:tcW w:type="pct" w:w="75%"/>
            <w:tcMar>
              <w:top w:type="dxa" w:w="60"/>
              <w:left w:type="dxa" w:w="100"/>
              <w:bottom w:type="dxa" w:w="60"/>
              <w:right w:type="dxa" w:w="100"/>
            </w:tcMar>
            <w:vAlign w:val="center"/>
          </w:tcPr>
          <w:p>
            <w:r>
              <w:rPr>
                <w:b w:val="false"/>
                <w:bCs w:val="false"/>
                <w:color w:val="2C2C2C"/>
                <w:sz w:val="19"/>
                <w:szCs w:val="19"/>
              </w:rPr>
              <w:t xml:space="preserve">Puerto del servidor MySQL (por defecto 3306).</w:t>
            </w:r>
          </w:p>
        </w:tc>
      </w:tr>
      <w:tr>
        <w:tc>
          <w:tcPr>
            <w:tcW w:type="pct" w:w="25%"/>
            <w:tcMar>
              <w:top w:type="dxa" w:w="60"/>
              <w:left w:type="dxa" w:w="100"/>
              <w:bottom w:type="dxa" w:w="60"/>
              <w:right w:type="dxa" w:w="100"/>
            </w:tcMar>
            <w:vAlign w:val="center"/>
          </w:tcPr>
          <w:p>
            <w:r>
              <w:rPr>
                <w:b w:val="false"/>
                <w:bCs w:val="false"/>
                <w:color w:val="2C2C2C"/>
                <w:sz w:val="19"/>
                <w:szCs w:val="19"/>
              </w:rPr>
              <w:t xml:space="preserve">DB_NAME</w:t>
            </w:r>
          </w:p>
        </w:tc>
        <w:tc>
          <w:tcPr>
            <w:tcW w:type="pct" w:w="75%"/>
            <w:tcMar>
              <w:top w:type="dxa" w:w="60"/>
              <w:left w:type="dxa" w:w="100"/>
              <w:bottom w:type="dxa" w:w="60"/>
              <w:right w:type="dxa" w:w="100"/>
            </w:tcMar>
            <w:vAlign w:val="center"/>
          </w:tcPr>
          <w:p>
            <w:r>
              <w:rPr>
                <w:b w:val="false"/>
                <w:bCs w:val="false"/>
                <w:color w:val="2C2C2C"/>
                <w:sz w:val="19"/>
                <w:szCs w:val="19"/>
              </w:rPr>
              <w:t xml:space="preserve">Nombre de la base de datos (ej. sigec).</w:t>
            </w:r>
          </w:p>
        </w:tc>
      </w:tr>
      <w:tr>
        <w:tc>
          <w:tcPr>
            <w:tcW w:type="pct" w:w="25%"/>
            <w:tcMar>
              <w:top w:type="dxa" w:w="60"/>
              <w:left w:type="dxa" w:w="100"/>
              <w:bottom w:type="dxa" w:w="60"/>
              <w:right w:type="dxa" w:w="100"/>
            </w:tcMar>
            <w:vAlign w:val="center"/>
          </w:tcPr>
          <w:p>
            <w:r>
              <w:rPr>
                <w:b w:val="false"/>
                <w:bCs w:val="false"/>
                <w:color w:val="2C2C2C"/>
                <w:sz w:val="19"/>
                <w:szCs w:val="19"/>
              </w:rPr>
              <w:t xml:space="preserve">DB_USER</w:t>
            </w:r>
          </w:p>
        </w:tc>
        <w:tc>
          <w:tcPr>
            <w:tcW w:type="pct" w:w="75%"/>
            <w:tcMar>
              <w:top w:type="dxa" w:w="60"/>
              <w:left w:type="dxa" w:w="100"/>
              <w:bottom w:type="dxa" w:w="60"/>
              <w:right w:type="dxa" w:w="100"/>
            </w:tcMar>
            <w:vAlign w:val="center"/>
          </w:tcPr>
          <w:p>
            <w:r>
              <w:rPr>
                <w:b w:val="false"/>
                <w:bCs w:val="false"/>
                <w:color w:val="2C2C2C"/>
                <w:sz w:val="19"/>
                <w:szCs w:val="19"/>
              </w:rPr>
              <w:t xml:space="preserve">Usuario de conexión a la base de datos.</w:t>
            </w:r>
          </w:p>
        </w:tc>
      </w:tr>
      <w:tr>
        <w:tc>
          <w:tcPr>
            <w:tcW w:type="pct" w:w="25%"/>
            <w:tcMar>
              <w:top w:type="dxa" w:w="60"/>
              <w:left w:type="dxa" w:w="100"/>
              <w:bottom w:type="dxa" w:w="60"/>
              <w:right w:type="dxa" w:w="100"/>
            </w:tcMar>
            <w:vAlign w:val="center"/>
          </w:tcPr>
          <w:p>
            <w:r>
              <w:rPr>
                <w:b w:val="false"/>
                <w:bCs w:val="false"/>
                <w:color w:val="2C2C2C"/>
                <w:sz w:val="19"/>
                <w:szCs w:val="19"/>
              </w:rPr>
              <w:t xml:space="preserve">DB_PASSWORD</w:t>
            </w:r>
          </w:p>
        </w:tc>
        <w:tc>
          <w:tcPr>
            <w:tcW w:type="pct" w:w="75%"/>
            <w:tcMar>
              <w:top w:type="dxa" w:w="60"/>
              <w:left w:type="dxa" w:w="100"/>
              <w:bottom w:type="dxa" w:w="60"/>
              <w:right w:type="dxa" w:w="100"/>
            </w:tcMar>
            <w:vAlign w:val="center"/>
          </w:tcPr>
          <w:p>
            <w:r>
              <w:rPr>
                <w:b w:val="false"/>
                <w:bCs w:val="false"/>
                <w:color w:val="2C2C2C"/>
                <w:sz w:val="19"/>
                <w:szCs w:val="19"/>
              </w:rPr>
              <w:t xml:space="preserve">Contraseña del usuario de base de datos.</w:t>
            </w:r>
          </w:p>
        </w:tc>
      </w:tr>
      <w:tr>
        <w:tc>
          <w:tcPr>
            <w:tcW w:type="pct" w:w="25%"/>
            <w:tcMar>
              <w:top w:type="dxa" w:w="60"/>
              <w:left w:type="dxa" w:w="100"/>
              <w:bottom w:type="dxa" w:w="60"/>
              <w:right w:type="dxa" w:w="100"/>
            </w:tcMar>
            <w:vAlign w:val="center"/>
          </w:tcPr>
          <w:p>
            <w:r>
              <w:rPr>
                <w:b w:val="false"/>
                <w:bCs w:val="false"/>
                <w:color w:val="2C2C2C"/>
                <w:sz w:val="19"/>
                <w:szCs w:val="19"/>
              </w:rPr>
              <w:t xml:space="preserve">JWT_SECRET</w:t>
            </w:r>
          </w:p>
        </w:tc>
        <w:tc>
          <w:tcPr>
            <w:tcW w:type="pct" w:w="75%"/>
            <w:tcMar>
              <w:top w:type="dxa" w:w="60"/>
              <w:left w:type="dxa" w:w="100"/>
              <w:bottom w:type="dxa" w:w="60"/>
              <w:right w:type="dxa" w:w="100"/>
            </w:tcMar>
            <w:vAlign w:val="center"/>
          </w:tcPr>
          <w:p>
            <w:r>
              <w:rPr>
                <w:b w:val="false"/>
                <w:bCs w:val="false"/>
                <w:color w:val="2C2C2C"/>
                <w:sz w:val="19"/>
                <w:szCs w:val="19"/>
              </w:rPr>
              <w:t xml:space="preserve">Clave secreta utilizada para firmar y verificar los tokens JWT (AuthController, verifyToken, attachUser).</w:t>
            </w:r>
          </w:p>
        </w:tc>
      </w:tr>
      <w:tr>
        <w:tc>
          <w:tcPr>
            <w:tcW w:type="pct" w:w="25%"/>
            <w:tcMar>
              <w:top w:type="dxa" w:w="60"/>
              <w:left w:type="dxa" w:w="100"/>
              <w:bottom w:type="dxa" w:w="60"/>
              <w:right w:type="dxa" w:w="100"/>
            </w:tcMar>
            <w:vAlign w:val="center"/>
          </w:tcPr>
          <w:p>
            <w:r>
              <w:rPr>
                <w:b w:val="false"/>
                <w:bCs w:val="false"/>
                <w:color w:val="2C2C2C"/>
                <w:sz w:val="19"/>
                <w:szCs w:val="19"/>
              </w:rPr>
              <w:t xml:space="preserve">SEED_EXCEL_PATH</w:t>
            </w:r>
          </w:p>
        </w:tc>
        <w:tc>
          <w:tcPr>
            <w:tcW w:type="pct" w:w="75%"/>
            <w:tcMar>
              <w:top w:type="dxa" w:w="60"/>
              <w:left w:type="dxa" w:w="100"/>
              <w:bottom w:type="dxa" w:w="60"/>
              <w:right w:type="dxa" w:w="100"/>
            </w:tcMar>
            <w:vAlign w:val="center"/>
          </w:tcPr>
          <w:p>
            <w:r>
              <w:rPr>
                <w:b w:val="false"/>
                <w:bCs w:val="false"/>
                <w:color w:val="2C2C2C"/>
                <w:sz w:val="19"/>
                <w:szCs w:val="19"/>
              </w:rPr>
              <w:t xml:space="preserve">Ruta al archivo Excel de origen utilizado por el seeder de carga inicial de casos (backend/seeders/20260611120000-cargar-excel-casos.js).</w:t>
            </w:r>
          </w:p>
        </w:tc>
      </w:tr>
    </w:tbl>
    <w:p>
      <w:pPr>
        <w:spacing w:after="120"/>
      </w:pPr>
      <w:r>
        <w:t xml:space="preserve">Ejemplo de archivo backend/.env.dev:</w:t>
      </w:r>
    </w:p>
    <w:p>
      <w:pPr>
        <w:shd w:fill="F5F5F5" w:val="clear"/>
        <w:spacing w:after="120"/>
      </w:pPr>
      <w:r>
        <w:rPr>
          <w:rFonts w:ascii="Consolas" w:cs="Consolas" w:eastAsia="Consolas" w:hAnsi="Consolas"/>
          <w:sz w:val="19"/>
          <w:szCs w:val="19"/>
        </w:rPr>
        <w:t xml:space="preserve">PORT=3000</w:t>
      </w:r>
    </w:p>
    <w:p>
      <w:pPr>
        <w:shd w:fill="F5F5F5" w:val="clear"/>
        <w:spacing w:after="120"/>
      </w:pPr>
      <w:r>
        <w:rPr>
          <w:rFonts w:ascii="Consolas" w:cs="Consolas" w:eastAsia="Consolas" w:hAnsi="Consolas"/>
          <w:sz w:val="19"/>
          <w:szCs w:val="19"/>
        </w:rPr>
        <w:t xml:space="preserve">NODE_ENV=development</w:t>
      </w:r>
    </w:p>
    <w:p>
      <w:pPr>
        <w:shd w:fill="F5F5F5" w:val="clear"/>
        <w:spacing w:after="120"/>
      </w:pPr>
      <w:r>
        <w:rPr>
          <w:rFonts w:ascii="Consolas" w:cs="Consolas" w:eastAsia="Consolas" w:hAnsi="Consolas"/>
          <w:sz w:val="19"/>
          <w:szCs w:val="19"/>
        </w:rPr>
        <w:t xml:space="preserve">CLIENT_URL=http://localhost:5173</w:t>
      </w:r>
    </w:p>
    <w:p>
      <w:pPr>
        <w:shd w:fill="F5F5F5" w:val="clear"/>
        <w:spacing w:after="120"/>
      </w:pPr>
      <w:r>
        <w:rPr>
          <w:rFonts w:ascii="Consolas" w:cs="Consolas" w:eastAsia="Consolas" w:hAnsi="Consolas"/>
          <w:sz w:val="19"/>
          <w:szCs w:val="19"/>
        </w:rPr>
        <w:t xml:space="preserve">DB_HOST=127.0.0.1</w:t>
      </w:r>
    </w:p>
    <w:p>
      <w:pPr>
        <w:shd w:fill="F5F5F5" w:val="clear"/>
        <w:spacing w:after="120"/>
      </w:pPr>
      <w:r>
        <w:rPr>
          <w:rFonts w:ascii="Consolas" w:cs="Consolas" w:eastAsia="Consolas" w:hAnsi="Consolas"/>
          <w:sz w:val="19"/>
          <w:szCs w:val="19"/>
        </w:rPr>
        <w:t xml:space="preserve">DB_PORT=3306</w:t>
      </w:r>
    </w:p>
    <w:p>
      <w:pPr>
        <w:shd w:fill="F5F5F5" w:val="clear"/>
        <w:spacing w:after="120"/>
      </w:pPr>
      <w:r>
        <w:rPr>
          <w:rFonts w:ascii="Consolas" w:cs="Consolas" w:eastAsia="Consolas" w:hAnsi="Consolas"/>
          <w:sz w:val="19"/>
          <w:szCs w:val="19"/>
        </w:rPr>
        <w:t xml:space="preserve">DB_NAME=sigec</w:t>
      </w:r>
    </w:p>
    <w:p>
      <w:pPr>
        <w:shd w:fill="F5F5F5" w:val="clear"/>
        <w:spacing w:after="120"/>
      </w:pPr>
      <w:r>
        <w:rPr>
          <w:rFonts w:ascii="Consolas" w:cs="Consolas" w:eastAsia="Consolas" w:hAnsi="Consolas"/>
          <w:sz w:val="19"/>
          <w:szCs w:val="19"/>
        </w:rPr>
        <w:t xml:space="preserve">DB_USER=root</w:t>
      </w:r>
    </w:p>
    <w:p>
      <w:pPr>
        <w:shd w:fill="F5F5F5" w:val="clear"/>
        <w:spacing w:after="120"/>
      </w:pPr>
      <w:r>
        <w:rPr>
          <w:rFonts w:ascii="Consolas" w:cs="Consolas" w:eastAsia="Consolas" w:hAnsi="Consolas"/>
          <w:sz w:val="19"/>
          <w:szCs w:val="19"/>
        </w:rPr>
        <w:t xml:space="preserve">DB_PASSWORD=********</w:t>
      </w:r>
    </w:p>
    <w:p>
      <w:pPr>
        <w:shd w:fill="F5F5F5" w:val="clear"/>
        <w:spacing w:after="120"/>
      </w:pPr>
      <w:r>
        <w:rPr>
          <w:rFonts w:ascii="Consolas" w:cs="Consolas" w:eastAsia="Consolas" w:hAnsi="Consolas"/>
          <w:sz w:val="19"/>
          <w:szCs w:val="19"/>
        </w:rPr>
        <w:t xml:space="preserve">JWT_SECRET=********</w:t>
      </w:r>
    </w:p>
    <w:p>
      <w:pPr>
        <w:shd w:fill="F5F5F5" w:val="clear"/>
        <w:spacing w:after="120"/>
      </w:pPr>
      <w:r>
        <w:rPr>
          <w:rFonts w:ascii="Consolas" w:cs="Consolas" w:eastAsia="Consolas" w:hAnsi="Consolas"/>
          <w:sz w:val="19"/>
          <w:szCs w:val="19"/>
        </w:rPr>
        <w:t xml:space="preserve">SEED_EXCEL_PATH=./seed-data/casos.xlsx</w:t>
      </w:r>
    </w:p>
    <w:p>
      <w:pPr>
        <w:pStyle w:val="Heading2"/>
        <w:spacing w:after="120" w:before="240"/>
      </w:pPr>
      <w:r>
        <w:rPr>
          <w:b/>
          <w:bCs/>
          <w:color w:val="2C2C2C"/>
        </w:rPr>
        <w:t xml:space="preserve">4.2 Frontend (frontend/.env)</w:t>
      </w:r>
    </w:p>
    <w:tbl>
      <w:tblPr>
        <w:tblW w:type="pct" w:w="100%"/>
        <w:tblBorders>
          <w:top w:val="single" w:color="CCCCCC" w:sz="1"/>
          <w:left w:val="single" w:color="CCCCCC" w:sz="1"/>
          <w:bottom w:val="single" w:color="CCCCCC" w:sz="1"/>
          <w:right w:val="single" w:color="CCCCCC" w:sz="1"/>
          <w:insideH w:val="single" w:color="DDDDDD" w:sz="1"/>
          <w:insideV w:val="single" w:color="DDDDDD" w:sz="1"/>
        </w:tblBorders>
      </w:tblPr>
      <w:tblGrid>
        <w:gridCol w:w="100"/>
        <w:gridCol w:w="100"/>
      </w:tblGrid>
      <w:tr>
        <w:trPr>
          <w:tblHeader/>
        </w:trPr>
        <w:tc>
          <w:tcPr>
            <w:tcW w:type="pct" w:w="25%"/>
            <w:shd w:fill="C0392B" w:val="clear"/>
            <w:tcMar>
              <w:top w:type="dxa" w:w="60"/>
              <w:left w:type="dxa" w:w="100"/>
              <w:bottom w:type="dxa" w:w="60"/>
              <w:right w:type="dxa" w:w="100"/>
            </w:tcMar>
            <w:vAlign w:val="center"/>
          </w:tcPr>
          <w:p>
            <w:r>
              <w:rPr>
                <w:b/>
                <w:bCs/>
                <w:color w:val="FFFFFF"/>
                <w:sz w:val="20"/>
                <w:szCs w:val="20"/>
              </w:rPr>
              <w:t xml:space="preserve">Variable</w:t>
            </w:r>
          </w:p>
        </w:tc>
        <w:tc>
          <w:tcPr>
            <w:tcW w:type="pct" w:w="75%"/>
            <w:shd w:fill="C0392B" w:val="clear"/>
            <w:tcMar>
              <w:top w:type="dxa" w:w="60"/>
              <w:left w:type="dxa" w:w="100"/>
              <w:bottom w:type="dxa" w:w="60"/>
              <w:right w:type="dxa" w:w="100"/>
            </w:tcMar>
            <w:vAlign w:val="center"/>
          </w:tcPr>
          <w:p>
            <w:r>
              <w:rPr>
                <w:b/>
                <w:bCs/>
                <w:color w:val="FFFFFF"/>
                <w:sz w:val="20"/>
                <w:szCs w:val="20"/>
              </w:rPr>
              <w:t xml:space="preserve">Descripción</w:t>
            </w:r>
          </w:p>
        </w:tc>
      </w:tr>
      <w:tr>
        <w:tc>
          <w:tcPr>
            <w:tcW w:type="pct" w:w="25%"/>
            <w:tcMar>
              <w:top w:type="dxa" w:w="60"/>
              <w:left w:type="dxa" w:w="100"/>
              <w:bottom w:type="dxa" w:w="60"/>
              <w:right w:type="dxa" w:w="100"/>
            </w:tcMar>
            <w:vAlign w:val="center"/>
          </w:tcPr>
          <w:p>
            <w:r>
              <w:rPr>
                <w:b w:val="false"/>
                <w:bCs w:val="false"/>
                <w:color w:val="2C2C2C"/>
                <w:sz w:val="19"/>
                <w:szCs w:val="19"/>
              </w:rPr>
              <w:t xml:space="preserve">VITE_API_URL</w:t>
            </w:r>
          </w:p>
        </w:tc>
        <w:tc>
          <w:tcPr>
            <w:tcW w:type="pct" w:w="75%"/>
            <w:tcMar>
              <w:top w:type="dxa" w:w="60"/>
              <w:left w:type="dxa" w:w="100"/>
              <w:bottom w:type="dxa" w:w="60"/>
              <w:right w:type="dxa" w:w="100"/>
            </w:tcMar>
            <w:vAlign w:val="center"/>
          </w:tcPr>
          <w:p>
            <w:r>
              <w:rPr>
                <w:b w:val="false"/>
                <w:bCs w:val="false"/>
                <w:color w:val="2C2C2C"/>
                <w:sz w:val="19"/>
                <w:szCs w:val="19"/>
              </w:rPr>
              <w:t xml:space="preserve">URL base de la API consumida por el frontend mediante Axios (helpers/api.js). Ejemplo: http://localhost:3000/api/v1</w:t>
            </w:r>
          </w:p>
        </w:tc>
      </w:tr>
    </w:tbl>
    <w:p>
      <w:r>
        <w:br w:type="page"/>
      </w:r>
    </w:p>
    <w:p>
      <w:pPr>
        <w:pStyle w:val="Heading1"/>
        <w:spacing w:after="160" w:before="320"/>
      </w:pPr>
      <w:r>
        <w:rPr>
          <w:b/>
          <w:bCs/>
          <w:color w:val="C0392B"/>
        </w:rPr>
        <w:t xml:space="preserve">5. Instalación y Ejecución en Desarrollo</w:t>
      </w:r>
    </w:p>
    <w:p>
      <w:pPr>
        <w:pStyle w:val="Heading2"/>
        <w:spacing w:after="120" w:before="240"/>
      </w:pPr>
      <w:r>
        <w:rPr>
          <w:b/>
          <w:bCs/>
          <w:color w:val="2C2C2C"/>
        </w:rPr>
        <w:t xml:space="preserve">5.1 Backend</w:t>
      </w:r>
    </w:p>
    <w:p>
      <w:pPr>
        <w:pStyle w:val="ListParagraph"/>
        <w:numPr>
          <w:ilvl w:val="0"/>
          <w:numId w:val="1"/>
        </w:numPr>
        <w:spacing w:after="60"/>
      </w:pPr>
      <w:r>
        <w:t xml:space="preserve">1. Clonar el repositorio y posicionarse en la carpeta backend/.</w:t>
      </w:r>
    </w:p>
    <w:p>
      <w:pPr>
        <w:pStyle w:val="ListParagraph"/>
        <w:numPr>
          <w:ilvl w:val="0"/>
          <w:numId w:val="1"/>
        </w:numPr>
        <w:spacing w:after="60"/>
      </w:pPr>
      <w:r>
        <w:t xml:space="preserve">2. Crear el archivo backend/.env.dev con las variables descritas en la sección 4.1.</w:t>
      </w:r>
    </w:p>
    <w:p>
      <w:pPr>
        <w:pStyle w:val="ListParagraph"/>
        <w:numPr>
          <w:ilvl w:val="0"/>
          <w:numId w:val="1"/>
        </w:numPr>
        <w:spacing w:after="60"/>
      </w:pPr>
      <w:r>
        <w:t xml:space="preserve">3. Instalar dependencias:</w:t>
      </w:r>
    </w:p>
    <w:p>
      <w:pPr>
        <w:shd w:fill="F5F5F5" w:val="clear"/>
        <w:spacing w:after="120"/>
      </w:pPr>
      <w:r>
        <w:rPr>
          <w:rFonts w:ascii="Consolas" w:cs="Consolas" w:eastAsia="Consolas" w:hAnsi="Consolas"/>
          <w:sz w:val="19"/>
          <w:szCs w:val="19"/>
        </w:rPr>
        <w:t xml:space="preserve">npm install</w:t>
      </w:r>
    </w:p>
    <w:p>
      <w:pPr>
        <w:pStyle w:val="ListParagraph"/>
        <w:numPr>
          <w:ilvl w:val="0"/>
          <w:numId w:val="1"/>
        </w:numPr>
        <w:spacing w:after="60"/>
      </w:pPr>
      <w:r>
        <w:t xml:space="preserve">4. Crear la base de datos en MySQL (debe coincidir con DB_NAME).</w:t>
      </w:r>
    </w:p>
    <w:p>
      <w:pPr>
        <w:pStyle w:val="ListParagraph"/>
        <w:numPr>
          <w:ilvl w:val="0"/>
          <w:numId w:val="1"/>
        </w:numPr>
        <w:spacing w:after="60"/>
      </w:pPr>
      <w:r>
        <w:t xml:space="preserve">5. Ejecutar las migraciones y los seeders iniciales. El script 'reset' definido en package.json revierte, vuelve a aplicar las migraciones y ejecuta todos los seeders:</w:t>
      </w:r>
    </w:p>
    <w:p>
      <w:pPr>
        <w:shd w:fill="F5F5F5" w:val="clear"/>
        <w:spacing w:after="120"/>
      </w:pPr>
      <w:r>
        <w:rPr>
          <w:rFonts w:ascii="Consolas" w:cs="Consolas" w:eastAsia="Consolas" w:hAnsi="Consolas"/>
          <w:sz w:val="19"/>
          <w:szCs w:val="19"/>
        </w:rPr>
        <w:t xml:space="preserve">npm run reset</w:t>
      </w:r>
    </w:p>
    <w:p>
      <w:pPr>
        <w:spacing w:after="120"/>
      </w:pPr>
      <w:r>
        <w:t xml:space="preserve">Este comando ejecuta internamente:</w:t>
      </w:r>
    </w:p>
    <w:p>
      <w:pPr>
        <w:shd w:fill="F5F5F5" w:val="clear"/>
        <w:spacing w:after="120"/>
      </w:pPr>
      <w:r>
        <w:rPr>
          <w:rFonts w:ascii="Consolas" w:cs="Consolas" w:eastAsia="Consolas" w:hAnsi="Consolas"/>
          <w:sz w:val="19"/>
          <w:szCs w:val="19"/>
        </w:rPr>
        <w:t xml:space="preserve">sequelize-cli db:migrate:undo:all &amp;&amp; sequelize-cli db:migrate &amp;&amp; sequelize-cli db:seed:all</w:t>
      </w:r>
    </w:p>
    <w:p>
      <w:pPr>
        <w:pStyle w:val="ListParagraph"/>
        <w:numPr>
          <w:ilvl w:val="0"/>
          <w:numId w:val="1"/>
        </w:numPr>
        <w:spacing w:after="60"/>
      </w:pPr>
      <w:r>
        <w:t xml:space="preserve">6. Iniciar el servidor en modo desarrollo (con recarga automática mediante nodemon):</w:t>
      </w:r>
    </w:p>
    <w:p>
      <w:pPr>
        <w:shd w:fill="F5F5F5" w:val="clear"/>
        <w:spacing w:after="120"/>
      </w:pPr>
      <w:r>
        <w:rPr>
          <w:rFonts w:ascii="Consolas" w:cs="Consolas" w:eastAsia="Consolas" w:hAnsi="Consolas"/>
          <w:sz w:val="19"/>
          <w:szCs w:val="19"/>
        </w:rPr>
        <w:t xml:space="preserve">npm run dev</w:t>
      </w:r>
    </w:p>
    <w:p>
      <w:pPr>
        <w:pStyle w:val="ListParagraph"/>
        <w:numPr>
          <w:ilvl w:val="0"/>
          <w:numId w:val="1"/>
        </w:numPr>
        <w:spacing w:after="60"/>
      </w:pPr>
      <w:r>
        <w:t xml:space="preserve">7. El servidor quedará disponible en http://localhost:&lt;PORT&gt; (por ejemplo, http://localhost:3000), expone la API bajo el prefijo /api/v1 y ejecuta sequelize.sync() al iniciar (ver backend/server.js).</w:t>
      </w:r>
    </w:p>
    <w:p>
      <w:pPr>
        <w:pStyle w:val="Heading2"/>
        <w:spacing w:after="120" w:before="240"/>
      </w:pPr>
      <w:r>
        <w:rPr>
          <w:b/>
          <w:bCs/>
          <w:color w:val="2C2C2C"/>
        </w:rPr>
        <w:t xml:space="preserve">5.2 Frontend</w:t>
      </w:r>
    </w:p>
    <w:p>
      <w:pPr>
        <w:pStyle w:val="ListParagraph"/>
        <w:numPr>
          <w:ilvl w:val="0"/>
          <w:numId w:val="1"/>
        </w:numPr>
        <w:spacing w:after="60"/>
      </w:pPr>
      <w:r>
        <w:t xml:space="preserve">1. Posicionarse en la carpeta frontend/.</w:t>
      </w:r>
    </w:p>
    <w:p>
      <w:pPr>
        <w:pStyle w:val="ListParagraph"/>
        <w:numPr>
          <w:ilvl w:val="0"/>
          <w:numId w:val="1"/>
        </w:numPr>
        <w:spacing w:after="60"/>
      </w:pPr>
      <w:r>
        <w:t xml:space="preserve">2. Crear el archivo frontend/.env con la variable VITE_API_URL apuntando a la API del backend.</w:t>
      </w:r>
    </w:p>
    <w:p>
      <w:pPr>
        <w:pStyle w:val="ListParagraph"/>
        <w:numPr>
          <w:ilvl w:val="0"/>
          <w:numId w:val="1"/>
        </w:numPr>
        <w:spacing w:after="60"/>
      </w:pPr>
      <w:r>
        <w:t xml:space="preserve">3. Instalar dependencias:</w:t>
      </w:r>
    </w:p>
    <w:p>
      <w:pPr>
        <w:shd w:fill="F5F5F5" w:val="clear"/>
        <w:spacing w:after="120"/>
      </w:pPr>
      <w:r>
        <w:rPr>
          <w:rFonts w:ascii="Consolas" w:cs="Consolas" w:eastAsia="Consolas" w:hAnsi="Consolas"/>
          <w:sz w:val="19"/>
          <w:szCs w:val="19"/>
        </w:rPr>
        <w:t xml:space="preserve">npm install</w:t>
      </w:r>
    </w:p>
    <w:p>
      <w:pPr>
        <w:pStyle w:val="ListParagraph"/>
        <w:numPr>
          <w:ilvl w:val="0"/>
          <w:numId w:val="1"/>
        </w:numPr>
        <w:spacing w:after="60"/>
      </w:pPr>
      <w:r>
        <w:t xml:space="preserve">4. Iniciar el servidor de desarrollo de Vite:</w:t>
      </w:r>
    </w:p>
    <w:p>
      <w:pPr>
        <w:shd w:fill="F5F5F5" w:val="clear"/>
        <w:spacing w:after="120"/>
      </w:pPr>
      <w:r>
        <w:rPr>
          <w:rFonts w:ascii="Consolas" w:cs="Consolas" w:eastAsia="Consolas" w:hAnsi="Consolas"/>
          <w:sz w:val="19"/>
          <w:szCs w:val="19"/>
        </w:rPr>
        <w:t xml:space="preserve">npm run dev</w:t>
      </w:r>
    </w:p>
    <w:p>
      <w:pPr>
        <w:pStyle w:val="ListParagraph"/>
        <w:numPr>
          <w:ilvl w:val="0"/>
          <w:numId w:val="1"/>
        </w:numPr>
        <w:spacing w:after="60"/>
      </w:pPr>
      <w:r>
        <w:t xml:space="preserve">5. Acceder a la aplicación en la URL indicada por Vite (por defecto http://localhost:5173).</w:t>
      </w:r>
    </w:p>
    <w:p>
      <w:r>
        <w:br w:type="page"/>
      </w:r>
    </w:p>
    <w:p>
      <w:pPr>
        <w:pStyle w:val="Heading1"/>
        <w:spacing w:after="160" w:before="320"/>
      </w:pPr>
      <w:r>
        <w:rPr>
          <w:b/>
          <w:bCs/>
          <w:color w:val="C0392B"/>
        </w:rPr>
        <w:t xml:space="preserve">6. Migraciones de Base de Datos</w:t>
      </w:r>
    </w:p>
    <w:p>
      <w:pPr>
        <w:spacing w:after="120"/>
      </w:pPr>
      <w:r>
        <w:t xml:space="preserve">Las migraciones se ubican en backend/migrations/ y se gestionan con Sequelize CLI (configuración en backend/.sequelizerc y backend/config/config.cjs). El historial de migraciones aplicadas es el siguiente:</w:t>
      </w:r>
    </w:p>
    <w:tbl>
      <w:tblPr>
        <w:tblW w:type="pct" w:w="100%"/>
        <w:tblBorders>
          <w:top w:val="single" w:color="CCCCCC" w:sz="1"/>
          <w:left w:val="single" w:color="CCCCCC" w:sz="1"/>
          <w:bottom w:val="single" w:color="CCCCCC" w:sz="1"/>
          <w:right w:val="single" w:color="CCCCCC" w:sz="1"/>
          <w:insideH w:val="single" w:color="DDDDDD" w:sz="1"/>
          <w:insideV w:val="single" w:color="DDDDDD" w:sz="1"/>
        </w:tblBorders>
      </w:tblPr>
      <w:tblGrid>
        <w:gridCol w:w="100"/>
        <w:gridCol w:w="100"/>
      </w:tblGrid>
      <w:tr>
        <w:trPr>
          <w:tblHeader/>
        </w:trPr>
        <w:tc>
          <w:tcPr>
            <w:tcW w:type="pct" w:w="40%"/>
            <w:shd w:fill="C0392B" w:val="clear"/>
            <w:tcMar>
              <w:top w:type="dxa" w:w="60"/>
              <w:left w:type="dxa" w:w="100"/>
              <w:bottom w:type="dxa" w:w="60"/>
              <w:right w:type="dxa" w:w="100"/>
            </w:tcMar>
            <w:vAlign w:val="center"/>
          </w:tcPr>
          <w:p>
            <w:r>
              <w:rPr>
                <w:b/>
                <w:bCs/>
                <w:color w:val="FFFFFF"/>
                <w:sz w:val="20"/>
                <w:szCs w:val="20"/>
              </w:rPr>
              <w:t xml:space="preserve">Migración</w:t>
            </w:r>
          </w:p>
        </w:tc>
        <w:tc>
          <w:tcPr>
            <w:tcW w:type="pct" w:w="60%"/>
            <w:shd w:fill="C0392B" w:val="clear"/>
            <w:tcMar>
              <w:top w:type="dxa" w:w="60"/>
              <w:left w:type="dxa" w:w="100"/>
              <w:bottom w:type="dxa" w:w="60"/>
              <w:right w:type="dxa" w:w="100"/>
            </w:tcMar>
            <w:vAlign w:val="center"/>
          </w:tcPr>
          <w:p>
            <w:r>
              <w:rPr>
                <w:b/>
                <w:bCs/>
                <w:color w:val="FFFFFF"/>
                <w:sz w:val="20"/>
                <w:szCs w:val="20"/>
              </w:rPr>
              <w:t xml:space="preserve">Propósito</w:t>
            </w:r>
          </w:p>
        </w:tc>
      </w:tr>
      <w:tr>
        <w:tc>
          <w:tcPr>
            <w:tcW w:type="pct" w:w="40%"/>
            <w:tcMar>
              <w:top w:type="dxa" w:w="60"/>
              <w:left w:type="dxa" w:w="100"/>
              <w:bottom w:type="dxa" w:w="60"/>
              <w:right w:type="dxa" w:w="100"/>
            </w:tcMar>
            <w:vAlign w:val="center"/>
          </w:tcPr>
          <w:p>
            <w:r>
              <w:rPr>
                <w:b w:val="false"/>
                <w:bCs w:val="false"/>
                <w:color w:val="2C2C2C"/>
                <w:sz w:val="19"/>
                <w:szCs w:val="19"/>
              </w:rPr>
              <w:t xml:space="preserve">20260514221353-initial-schema.js</w:t>
            </w:r>
          </w:p>
        </w:tc>
        <w:tc>
          <w:tcPr>
            <w:tcW w:type="pct" w:w="60%"/>
            <w:tcMar>
              <w:top w:type="dxa" w:w="60"/>
              <w:left w:type="dxa" w:w="100"/>
              <w:bottom w:type="dxa" w:w="60"/>
              <w:right w:type="dxa" w:w="100"/>
            </w:tcMar>
            <w:vAlign w:val="center"/>
          </w:tcPr>
          <w:p>
            <w:r>
              <w:rPr>
                <w:b w:val="false"/>
                <w:bCs w:val="false"/>
                <w:color w:val="2C2C2C"/>
                <w:sz w:val="19"/>
                <w:szCs w:val="19"/>
              </w:rPr>
              <w:t xml:space="preserve">Crea el esquema inicial completo: roles, usuarios, división geográfica, niñas, casos, historial educativo y cargas de archivo.</w:t>
            </w:r>
          </w:p>
        </w:tc>
      </w:tr>
      <w:tr>
        <w:tc>
          <w:tcPr>
            <w:tcW w:type="pct" w:w="40%"/>
            <w:tcMar>
              <w:top w:type="dxa" w:w="60"/>
              <w:left w:type="dxa" w:w="100"/>
              <w:bottom w:type="dxa" w:w="60"/>
              <w:right w:type="dxa" w:w="100"/>
            </w:tcMar>
            <w:vAlign w:val="center"/>
          </w:tcPr>
          <w:p>
            <w:r>
              <w:rPr>
                <w:b w:val="false"/>
                <w:bCs w:val="false"/>
                <w:color w:val="2C2C2C"/>
                <w:sz w:val="19"/>
                <w:szCs w:val="19"/>
              </w:rPr>
              <w:t xml:space="preserve">20260608000000-allow-null-cui.js</w:t>
            </w:r>
          </w:p>
        </w:tc>
        <w:tc>
          <w:tcPr>
            <w:tcW w:type="pct" w:w="60%"/>
            <w:tcMar>
              <w:top w:type="dxa" w:w="60"/>
              <w:left w:type="dxa" w:w="100"/>
              <w:bottom w:type="dxa" w:w="60"/>
              <w:right w:type="dxa" w:w="100"/>
            </w:tcMar>
            <w:vAlign w:val="center"/>
          </w:tcPr>
          <w:p>
            <w:r>
              <w:rPr>
                <w:b w:val="false"/>
                <w:bCs w:val="false"/>
                <w:color w:val="2C2C2C"/>
                <w:sz w:val="19"/>
                <w:szCs w:val="19"/>
              </w:rPr>
              <w:t xml:space="preserve">Permite valores nulos en el campo cui de la tabla de niñas, para registros sin CUI/DPI.</w:t>
            </w:r>
          </w:p>
        </w:tc>
      </w:tr>
      <w:tr>
        <w:tc>
          <w:tcPr>
            <w:tcW w:type="pct" w:w="40%"/>
            <w:tcMar>
              <w:top w:type="dxa" w:w="60"/>
              <w:left w:type="dxa" w:w="100"/>
              <w:bottom w:type="dxa" w:w="60"/>
              <w:right w:type="dxa" w:w="100"/>
            </w:tcMar>
            <w:vAlign w:val="center"/>
          </w:tcPr>
          <w:p>
            <w:r>
              <w:rPr>
                <w:b w:val="false"/>
                <w:bCs w:val="false"/>
                <w:color w:val="2C2C2C"/>
                <w:sz w:val="19"/>
                <w:szCs w:val="19"/>
              </w:rPr>
              <w:t xml:space="preserve">20260608000001-nina-pueblo-comunidad-strings.js</w:t>
            </w:r>
          </w:p>
        </w:tc>
        <w:tc>
          <w:tcPr>
            <w:tcW w:type="pct" w:w="60%"/>
            <w:tcMar>
              <w:top w:type="dxa" w:w="60"/>
              <w:left w:type="dxa" w:w="100"/>
              <w:bottom w:type="dxa" w:w="60"/>
              <w:right w:type="dxa" w:w="100"/>
            </w:tcMar>
            <w:vAlign w:val="center"/>
          </w:tcPr>
          <w:p>
            <w:r>
              <w:rPr>
                <w:b w:val="false"/>
                <w:bCs w:val="false"/>
                <w:color w:val="2C2C2C"/>
                <w:sz w:val="19"/>
                <w:szCs w:val="19"/>
              </w:rPr>
              <w:t xml:space="preserve">Convierte los campos pueblo y comunidad_linguistica a campos de texto libre.</w:t>
            </w:r>
          </w:p>
        </w:tc>
      </w:tr>
      <w:tr>
        <w:tc>
          <w:tcPr>
            <w:tcW w:type="pct" w:w="40%"/>
            <w:tcMar>
              <w:top w:type="dxa" w:w="60"/>
              <w:left w:type="dxa" w:w="100"/>
              <w:bottom w:type="dxa" w:w="60"/>
              <w:right w:type="dxa" w:w="100"/>
            </w:tcMar>
            <w:vAlign w:val="center"/>
          </w:tcPr>
          <w:p>
            <w:r>
              <w:rPr>
                <w:b w:val="false"/>
                <w:bCs w:val="false"/>
                <w:color w:val="2C2C2C"/>
                <w:sz w:val="19"/>
                <w:szCs w:val="19"/>
              </w:rPr>
              <w:t xml:space="preserve">20260610000000-create-auditorias.js</w:t>
            </w:r>
          </w:p>
        </w:tc>
        <w:tc>
          <w:tcPr>
            <w:tcW w:type="pct" w:w="60%"/>
            <w:tcMar>
              <w:top w:type="dxa" w:w="60"/>
              <w:left w:type="dxa" w:w="100"/>
              <w:bottom w:type="dxa" w:w="60"/>
              <w:right w:type="dxa" w:w="100"/>
            </w:tcMar>
            <w:vAlign w:val="center"/>
          </w:tcPr>
          <w:p>
            <w:r>
              <w:rPr>
                <w:b w:val="false"/>
                <w:bCs w:val="false"/>
                <w:color w:val="2C2C2C"/>
                <w:sz w:val="19"/>
                <w:szCs w:val="19"/>
              </w:rPr>
              <w:t xml:space="preserve">Crea la tabla de auditoría para registrar la bitácora del sistema, incluyendo inicio y cierre de sesión.</w:t>
            </w:r>
          </w:p>
        </w:tc>
      </w:tr>
    </w:tbl>
    <w:p>
      <w:pPr>
        <w:spacing w:after="120"/>
      </w:pPr>
      <w:r>
        <w:t xml:space="preserve">Comandos útiles de Sequelize CLI (ejecutados desde backend/):</w:t>
      </w:r>
    </w:p>
    <w:p>
      <w:pPr>
        <w:shd w:fill="F5F5F5" w:val="clear"/>
        <w:spacing w:after="120"/>
      </w:pPr>
      <w:r>
        <w:rPr>
          <w:rFonts w:ascii="Consolas" w:cs="Consolas" w:eastAsia="Consolas" w:hAnsi="Consolas"/>
          <w:sz w:val="19"/>
          <w:szCs w:val="19"/>
        </w:rPr>
        <w:t xml:space="preserve">npx sequelize-cli db:migrate            # Aplica las migraciones pendientes</w:t>
      </w:r>
    </w:p>
    <w:p>
      <w:pPr>
        <w:shd w:fill="F5F5F5" w:val="clear"/>
        <w:spacing w:after="120"/>
      </w:pPr>
      <w:r>
        <w:rPr>
          <w:rFonts w:ascii="Consolas" w:cs="Consolas" w:eastAsia="Consolas" w:hAnsi="Consolas"/>
          <w:sz w:val="19"/>
          <w:szCs w:val="19"/>
        </w:rPr>
        <w:t xml:space="preserve">npx sequelize-cli db:migrate:undo       # Revierte la última migración</w:t>
      </w:r>
    </w:p>
    <w:p>
      <w:pPr>
        <w:shd w:fill="F5F5F5" w:val="clear"/>
        <w:spacing w:after="120"/>
      </w:pPr>
      <w:r>
        <w:rPr>
          <w:rFonts w:ascii="Consolas" w:cs="Consolas" w:eastAsia="Consolas" w:hAnsi="Consolas"/>
          <w:sz w:val="19"/>
          <w:szCs w:val="19"/>
        </w:rPr>
        <w:t xml:space="preserve">npx sequelize-cli db:migrate:undo:all   # Revierte todas las migraciones</w:t>
      </w:r>
    </w:p>
    <w:p>
      <w:pPr>
        <w:shd w:fill="F5F5F5" w:val="clear"/>
        <w:spacing w:after="120"/>
      </w:pPr>
      <w:r>
        <w:rPr>
          <w:rFonts w:ascii="Consolas" w:cs="Consolas" w:eastAsia="Consolas" w:hAnsi="Consolas"/>
          <w:sz w:val="19"/>
          <w:szCs w:val="19"/>
        </w:rPr>
        <w:t xml:space="preserve">npx sequelize-cli db:seed:all           # Ejecuta todos los seeders</w:t>
      </w:r>
    </w:p>
    <w:p>
      <w:pPr>
        <w:pStyle w:val="Heading2"/>
        <w:spacing w:after="120" w:before="240"/>
      </w:pPr>
      <w:r>
        <w:rPr>
          <w:b/>
          <w:bCs/>
          <w:color w:val="2C2C2C"/>
        </w:rPr>
        <w:t xml:space="preserve">6.1 Seeder de Carga Inicial desde Excel</w:t>
      </w:r>
    </w:p>
    <w:p>
      <w:pPr>
        <w:spacing w:after="120"/>
      </w:pPr>
      <w:r>
        <w:t xml:space="preserve">El seeder backend/seeders/20260611120000-cargar-excel-casos.js, junto con la utilidad backend/utils/cargaExcel.js, permite poblar la base de datos a partir de un archivo Excel con formato MSPAS. La ruta del archivo se define mediante la variable de entorno SEED_EXCEL_PATH. El proceso:</w:t>
      </w:r>
    </w:p>
    <w:p>
      <w:pPr>
        <w:pStyle w:val="ListParagraph"/>
        <w:numPr>
          <w:ilvl w:val="0"/>
          <w:numId w:val="1"/>
        </w:numPr>
        <w:spacing w:after="60"/>
      </w:pPr>
      <w:r>
        <w:t xml:space="preserve">Lee el archivo Excel con ExcelJS, detectando los encabezados en la fila 4 y los datos a partir de la fila 5.</w:t>
      </w:r>
    </w:p>
    <w:p>
      <w:pPr>
        <w:pStyle w:val="ListParagraph"/>
        <w:numPr>
          <w:ilvl w:val="0"/>
          <w:numId w:val="1"/>
        </w:numPr>
        <w:spacing w:after="60"/>
      </w:pPr>
      <w:r>
        <w:t xml:space="preserve">Crea o reutiliza los registros de división geográfica (departamentos, municipios, departamentales), niñas, casos de embarazo, historial educativo y centros educativos.</w:t>
      </w:r>
    </w:p>
    <w:p>
      <w:pPr>
        <w:pStyle w:val="ListParagraph"/>
        <w:numPr>
          <w:ilvl w:val="0"/>
          <w:numId w:val="1"/>
        </w:numPr>
        <w:spacing w:after="60"/>
      </w:pPr>
      <w:r>
        <w:t xml:space="preserve">Evita duplicados verificando la existencia previa de cada caso/niña antes de insertarlo.</w:t>
      </w:r>
    </w:p>
    <w:p>
      <w:pPr>
        <w:pStyle w:val="ListParagraph"/>
        <w:numPr>
          <w:ilvl w:val="0"/>
          <w:numId w:val="1"/>
        </w:numPr>
        <w:spacing w:after="60"/>
      </w:pPr>
      <w:r>
        <w:t xml:space="preserve">Importa las asociaciones del modelo desde backend/models/Relations.js para garantizar que todas las relaciones (por ejemplo Departamento-Departamental) estén correctamente registradas antes de ejecutar las consultas.</w:t>
      </w:r>
    </w:p>
    <w:p>
      <w:r>
        <w:br w:type="page"/>
      </w:r>
    </w:p>
    <w:p>
      <w:pPr>
        <w:pStyle w:val="Heading1"/>
        <w:spacing w:after="160" w:before="320"/>
      </w:pPr>
      <w:r>
        <w:rPr>
          <w:b/>
          <w:bCs/>
          <w:color w:val="C0392B"/>
        </w:rPr>
        <w:t xml:space="preserve">7. Despliegue en Producción con Docker</w:t>
      </w:r>
    </w:p>
    <w:p>
      <w:pPr>
        <w:spacing w:after="120"/>
      </w:pPr>
      <w:r>
        <w:t xml:space="preserve">El despliegue en producción utiliza contenedores Docker independientes para el frontend y el backend, según se describe en el documento DOC-01 (Diagramas de Arquitectura del Sistema).</w:t>
      </w:r>
    </w:p>
    <w:p>
      <w:pPr>
        <w:pStyle w:val="Heading2"/>
        <w:spacing w:after="120" w:before="240"/>
      </w:pPr>
      <w:r>
        <w:rPr>
          <w:b/>
          <w:bCs/>
          <w:color w:val="2C2C2C"/>
        </w:rPr>
        <w:t xml:space="preserve">7.1 Backend (backend/Dockerfile)</w:t>
      </w:r>
    </w:p>
    <w:p>
      <w:pPr>
        <w:spacing w:after="120"/>
      </w:pPr>
      <w:r>
        <w:t xml:space="preserve">Imagen base: node:20-alpine. Pasos principales de la imagen:</w:t>
      </w:r>
    </w:p>
    <w:p>
      <w:pPr>
        <w:pStyle w:val="ListParagraph"/>
        <w:numPr>
          <w:ilvl w:val="0"/>
          <w:numId w:val="1"/>
        </w:numPr>
        <w:spacing w:after="60"/>
      </w:pPr>
      <w:r>
        <w:t xml:space="preserve">Define NODE_ENV=production desde el inicio de la imagen.</w:t>
      </w:r>
    </w:p>
    <w:p>
      <w:pPr>
        <w:pStyle w:val="ListParagraph"/>
        <w:numPr>
          <w:ilvl w:val="0"/>
          <w:numId w:val="1"/>
        </w:numPr>
        <w:spacing w:after="60"/>
      </w:pPr>
      <w:r>
        <w:t xml:space="preserve">Instala herramientas de compilación nativa (python3, make, g++) necesarias para dependencias como bcrypt.</w:t>
      </w:r>
    </w:p>
    <w:p>
      <w:pPr>
        <w:pStyle w:val="ListParagraph"/>
        <w:numPr>
          <w:ilvl w:val="0"/>
          <w:numId w:val="1"/>
        </w:numPr>
        <w:spacing w:after="60"/>
      </w:pPr>
      <w:r>
        <w:t xml:space="preserve">Copia package*.json e instala dependencias de producción con npm install --omit=dev.</w:t>
      </w:r>
    </w:p>
    <w:p>
      <w:pPr>
        <w:pStyle w:val="ListParagraph"/>
        <w:numPr>
          <w:ilvl w:val="0"/>
          <w:numId w:val="1"/>
        </w:numPr>
        <w:spacing w:after="60"/>
      </w:pPr>
      <w:r>
        <w:t xml:space="preserve">Copia el resto del código fuente (respetando .dockerignore).</w:t>
      </w:r>
    </w:p>
    <w:p>
      <w:pPr>
        <w:pStyle w:val="ListParagraph"/>
        <w:numPr>
          <w:ilvl w:val="0"/>
          <w:numId w:val="1"/>
        </w:numPr>
        <w:spacing w:after="60"/>
      </w:pPr>
      <w:r>
        <w:t xml:space="preserve">Ejecuta el proceso con el usuario sin privilegios 'node' (no root).</w:t>
      </w:r>
    </w:p>
    <w:p>
      <w:pPr>
        <w:pStyle w:val="ListParagraph"/>
        <w:numPr>
          <w:ilvl w:val="0"/>
          <w:numId w:val="1"/>
        </w:numPr>
        <w:spacing w:after="60"/>
      </w:pPr>
      <w:r>
        <w:t xml:space="preserve">Expone el puerto 3000 y arranca el servidor con: node server.js</w:t>
      </w:r>
    </w:p>
    <w:p>
      <w:pPr>
        <w:spacing w:after="120"/>
      </w:pPr>
      <w:r>
        <w:t xml:space="preserve">Construcción y ejecución manual del contenedor del backend:</w:t>
      </w:r>
    </w:p>
    <w:p>
      <w:pPr>
        <w:shd w:fill="F5F5F5" w:val="clear"/>
        <w:spacing w:after="120"/>
      </w:pPr>
      <w:r>
        <w:rPr>
          <w:rFonts w:ascii="Consolas" w:cs="Consolas" w:eastAsia="Consolas" w:hAnsi="Consolas"/>
          <w:sz w:val="19"/>
          <w:szCs w:val="19"/>
        </w:rPr>
        <w:t xml:space="preserve">docker build -t sigec-backend ./backend</w:t>
      </w:r>
    </w:p>
    <w:p>
      <w:pPr>
        <w:shd w:fill="F5F5F5" w:val="clear"/>
        <w:spacing w:after="120"/>
      </w:pPr>
      <w:r>
        <w:rPr>
          <w:rFonts w:ascii="Consolas" w:cs="Consolas" w:eastAsia="Consolas" w:hAnsi="Consolas"/>
          <w:sz w:val="19"/>
          <w:szCs w:val="19"/>
        </w:rPr>
        <w:t xml:space="preserve">docker run -d --name sigec-backend -p 3000:3000 \</w:t>
      </w:r>
    </w:p>
    <w:p>
      <w:pPr>
        <w:shd w:fill="F5F5F5" w:val="clear"/>
        <w:spacing w:after="120"/>
      </w:pPr>
      <w:r>
        <w:rPr>
          <w:rFonts w:ascii="Consolas" w:cs="Consolas" w:eastAsia="Consolas" w:hAnsi="Consolas"/>
          <w:sz w:val="19"/>
          <w:szCs w:val="19"/>
        </w:rPr>
        <w:t xml:space="preserve">  --env-file ./backend/.env.prod sigec-backend</w:t>
      </w:r>
    </w:p>
    <w:p>
      <w:pPr>
        <w:pStyle w:val="Heading2"/>
        <w:spacing w:after="120" w:before="240"/>
      </w:pPr>
      <w:r>
        <w:rPr>
          <w:b/>
          <w:bCs/>
          <w:color w:val="2C2C2C"/>
        </w:rPr>
        <w:t xml:space="preserve">7.2 Frontend (frontend/Dockerfile + nginx.conf)</w:t>
      </w:r>
    </w:p>
    <w:p>
      <w:pPr>
        <w:spacing w:after="120"/>
      </w:pPr>
      <w:r>
        <w:t xml:space="preserve">La imagen del frontend se construye en dos etapas:</w:t>
      </w:r>
    </w:p>
    <w:p>
      <w:pPr>
        <w:pStyle w:val="ListParagraph"/>
        <w:numPr>
          <w:ilvl w:val="0"/>
          <w:numId w:val="1"/>
        </w:numPr>
        <w:spacing w:after="60"/>
      </w:pPr>
      <w:r>
        <w:t xml:space="preserve">Etapa 1 (build-stage): imagen node:20-alpine, instala dependencias con npm ci y genera el build estático de producción con npm run build (Vite), generando la carpeta dist/.</w:t>
      </w:r>
    </w:p>
    <w:p>
      <w:pPr>
        <w:pStyle w:val="ListParagraph"/>
        <w:numPr>
          <w:ilvl w:val="0"/>
          <w:numId w:val="1"/>
        </w:numPr>
        <w:spacing w:after="60"/>
      </w:pPr>
      <w:r>
        <w:t xml:space="preserve">Etapa 2 (producción): imagen nginxinc/nginx-unprivileged:stable-alpine, copia la configuración personalizada (nginx.conf) y el contenido de dist/ generado en la etapa anterior.</w:t>
      </w:r>
    </w:p>
    <w:p>
      <w:pPr>
        <w:pStyle w:val="ListParagraph"/>
        <w:numPr>
          <w:ilvl w:val="0"/>
          <w:numId w:val="1"/>
        </w:numPr>
        <w:spacing w:after="60"/>
      </w:pPr>
      <w:r>
        <w:t xml:space="preserve">El contenedor corre como usuario no root (uid 101), expone el puerto 8080 y define un HEALTHCHECK que verifica la disponibilidad de la aplicación cada 30 segundos.</w:t>
      </w:r>
    </w:p>
    <w:p>
      <w:pPr>
        <w:spacing w:after="120"/>
      </w:pPr>
      <w:r>
        <w:t xml:space="preserve">Configuración relevante de nginx.conf:</w:t>
      </w:r>
    </w:p>
    <w:p>
      <w:pPr>
        <w:pStyle w:val="ListParagraph"/>
        <w:numPr>
          <w:ilvl w:val="0"/>
          <w:numId w:val="1"/>
        </w:numPr>
        <w:spacing w:after="60"/>
      </w:pPr>
      <w:r>
        <w:t xml:space="preserve">Escucha en el puerto 8080.</w:t>
      </w:r>
    </w:p>
    <w:p>
      <w:pPr>
        <w:pStyle w:val="ListParagraph"/>
        <w:numPr>
          <w:ilvl w:val="0"/>
          <w:numId w:val="1"/>
        </w:numPr>
        <w:spacing w:after="60"/>
      </w:pPr>
      <w:r>
        <w:t xml:space="preserve">Habilita compresión Gzip para archivos de texto, CSS, JS, XML y JSON.</w:t>
      </w:r>
    </w:p>
    <w:p>
      <w:pPr>
        <w:pStyle w:val="ListParagraph"/>
        <w:numPr>
          <w:ilvl w:val="0"/>
          <w:numId w:val="1"/>
        </w:numPr>
        <w:spacing w:after="60"/>
      </w:pPr>
      <w:r>
        <w:t xml:space="preserve">Sirve los archivos estáticos desde /usr/share/nginx/html con try_files $uri $uri/ /index.html, lo cual permite el correcto funcionamiento del enrutamiento de la SPA (Vue Router en modo history).</w:t>
      </w:r>
    </w:p>
    <w:p>
      <w:pPr>
        <w:pStyle w:val="Heading2"/>
        <w:spacing w:after="120" w:before="240"/>
      </w:pPr>
      <w:r>
        <w:rPr>
          <w:b/>
          <w:bCs/>
          <w:color w:val="2C2C2C"/>
        </w:rPr>
        <w:t xml:space="preserve">7.3 Orquestación con Docker Compose</w:t>
      </w:r>
    </w:p>
    <w:p>
      <w:pPr>
        <w:spacing w:after="120"/>
      </w:pPr>
      <w:r>
        <w:t xml:space="preserve">El archivo frontend/docker-compose.yml define el servicio del frontend:</w:t>
      </w:r>
    </w:p>
    <w:p>
      <w:pPr>
        <w:shd w:fill="F5F5F5" w:val="clear"/>
        <w:spacing w:after="120"/>
      </w:pPr>
      <w:r>
        <w:rPr>
          <w:rFonts w:ascii="Consolas" w:cs="Consolas" w:eastAsia="Consolas" w:hAnsi="Consolas"/>
          <w:sz w:val="19"/>
          <w:szCs w:val="19"/>
        </w:rPr>
        <w:t xml:space="preserve">version: "3.9"</w:t>
      </w:r>
    </w:p>
    <w:p>
      <w:pPr>
        <w:shd w:fill="F5F5F5" w:val="clear"/>
        <w:spacing w:after="120"/>
      </w:pPr>
      <w:r>
        <w:rPr>
          <w:rFonts w:ascii="Consolas" w:cs="Consolas" w:eastAsia="Consolas" w:hAnsi="Consolas"/>
          <w:sz w:val="19"/>
          <w:szCs w:val="19"/>
        </w:rPr>
        <w:t xml:space="preserve">services:</w:t>
      </w:r>
    </w:p>
    <w:p>
      <w:pPr>
        <w:shd w:fill="F5F5F5" w:val="clear"/>
        <w:spacing w:after="120"/>
      </w:pPr>
      <w:r>
        <w:rPr>
          <w:rFonts w:ascii="Consolas" w:cs="Consolas" w:eastAsia="Consolas" w:hAnsi="Consolas"/>
          <w:sz w:val="19"/>
          <w:szCs w:val="19"/>
        </w:rPr>
        <w:t xml:space="preserve">  frontend:</w:t>
      </w:r>
    </w:p>
    <w:p>
      <w:pPr>
        <w:shd w:fill="F5F5F5" w:val="clear"/>
        <w:spacing w:after="120"/>
      </w:pPr>
      <w:r>
        <w:rPr>
          <w:rFonts w:ascii="Consolas" w:cs="Consolas" w:eastAsia="Consolas" w:hAnsi="Consolas"/>
          <w:sz w:val="19"/>
          <w:szCs w:val="19"/>
        </w:rPr>
        <w:t xml:space="preserve">    build: .</w:t>
      </w:r>
    </w:p>
    <w:p>
      <w:pPr>
        <w:shd w:fill="F5F5F5" w:val="clear"/>
        <w:spacing w:after="120"/>
      </w:pPr>
      <w:r>
        <w:rPr>
          <w:rFonts w:ascii="Consolas" w:cs="Consolas" w:eastAsia="Consolas" w:hAnsi="Consolas"/>
          <w:sz w:val="19"/>
          <w:szCs w:val="19"/>
        </w:rPr>
        <w:t xml:space="preserve">    container_name: mockup-vite-prod</w:t>
      </w:r>
    </w:p>
    <w:p>
      <w:pPr>
        <w:shd w:fill="F5F5F5" w:val="clear"/>
        <w:spacing w:after="120"/>
      </w:pPr>
      <w:r>
        <w:rPr>
          <w:rFonts w:ascii="Consolas" w:cs="Consolas" w:eastAsia="Consolas" w:hAnsi="Consolas"/>
          <w:sz w:val="19"/>
          <w:szCs w:val="19"/>
        </w:rPr>
        <w:t xml:space="preserve">    restart: always</w:t>
      </w:r>
    </w:p>
    <w:p>
      <w:pPr>
        <w:shd w:fill="F5F5F5" w:val="clear"/>
        <w:spacing w:after="120"/>
      </w:pPr>
      <w:r>
        <w:rPr>
          <w:rFonts w:ascii="Consolas" w:cs="Consolas" w:eastAsia="Consolas" w:hAnsi="Consolas"/>
          <w:sz w:val="19"/>
          <w:szCs w:val="19"/>
        </w:rPr>
        <w:t xml:space="preserve">    ports:</w:t>
      </w:r>
    </w:p>
    <w:p>
      <w:pPr>
        <w:shd w:fill="F5F5F5" w:val="clear"/>
        <w:spacing w:after="120"/>
      </w:pPr>
      <w:r>
        <w:rPr>
          <w:rFonts w:ascii="Consolas" w:cs="Consolas" w:eastAsia="Consolas" w:hAnsi="Consolas"/>
          <w:sz w:val="19"/>
          <w:szCs w:val="19"/>
        </w:rPr>
        <w:t xml:space="preserve">      - "80:8080"</w:t>
      </w:r>
    </w:p>
    <w:p>
      <w:pPr>
        <w:spacing w:after="120"/>
      </w:pPr>
      <w:r>
        <w:t xml:space="preserve">Este servicio expone el frontend en el puerto 80 del host, redirigiendo al puerto 8080 del contenedor Nginx. Para un despliegue completo se recomienda extender este archivo (o crear uno adicional) agregando los servicios de backend y base de datos, por ejemplo:</w:t>
      </w:r>
    </w:p>
    <w:p>
      <w:pPr>
        <w:shd w:fill="F5F5F5" w:val="clear"/>
        <w:spacing w:after="120"/>
      </w:pPr>
      <w:r>
        <w:rPr>
          <w:rFonts w:ascii="Consolas" w:cs="Consolas" w:eastAsia="Consolas" w:hAnsi="Consolas"/>
          <w:sz w:val="19"/>
          <w:szCs w:val="19"/>
        </w:rPr>
        <w:t xml:space="preserve">services:</w:t>
      </w:r>
    </w:p>
    <w:p>
      <w:pPr>
        <w:shd w:fill="F5F5F5" w:val="clear"/>
        <w:spacing w:after="120"/>
      </w:pPr>
      <w:r>
        <w:rPr>
          <w:rFonts w:ascii="Consolas" w:cs="Consolas" w:eastAsia="Consolas" w:hAnsi="Consolas"/>
          <w:sz w:val="19"/>
          <w:szCs w:val="19"/>
        </w:rPr>
        <w:t xml:space="preserve">  backend:</w:t>
      </w:r>
    </w:p>
    <w:p>
      <w:pPr>
        <w:shd w:fill="F5F5F5" w:val="clear"/>
        <w:spacing w:after="120"/>
      </w:pPr>
      <w:r>
        <w:rPr>
          <w:rFonts w:ascii="Consolas" w:cs="Consolas" w:eastAsia="Consolas" w:hAnsi="Consolas"/>
          <w:sz w:val="19"/>
          <w:szCs w:val="19"/>
        </w:rPr>
        <w:t xml:space="preserve">    build: ./backend</w:t>
      </w:r>
    </w:p>
    <w:p>
      <w:pPr>
        <w:shd w:fill="F5F5F5" w:val="clear"/>
        <w:spacing w:after="120"/>
      </w:pPr>
      <w:r>
        <w:rPr>
          <w:rFonts w:ascii="Consolas" w:cs="Consolas" w:eastAsia="Consolas" w:hAnsi="Consolas"/>
          <w:sz w:val="19"/>
          <w:szCs w:val="19"/>
        </w:rPr>
        <w:t xml:space="preserve">    env_file: ./backend/.env.prod</w:t>
      </w:r>
    </w:p>
    <w:p>
      <w:pPr>
        <w:shd w:fill="F5F5F5" w:val="clear"/>
        <w:spacing w:after="120"/>
      </w:pPr>
      <w:r>
        <w:rPr>
          <w:rFonts w:ascii="Consolas" w:cs="Consolas" w:eastAsia="Consolas" w:hAnsi="Consolas"/>
          <w:sz w:val="19"/>
          <w:szCs w:val="19"/>
        </w:rPr>
        <w:t xml:space="preserve">    ports:</w:t>
      </w:r>
    </w:p>
    <w:p>
      <w:pPr>
        <w:shd w:fill="F5F5F5" w:val="clear"/>
        <w:spacing w:after="120"/>
      </w:pPr>
      <w:r>
        <w:rPr>
          <w:rFonts w:ascii="Consolas" w:cs="Consolas" w:eastAsia="Consolas" w:hAnsi="Consolas"/>
          <w:sz w:val="19"/>
          <w:szCs w:val="19"/>
        </w:rPr>
        <w:t xml:space="preserve">      - "3000:3000"</w:t>
      </w:r>
    </w:p>
    <w:p>
      <w:pPr>
        <w:shd w:fill="F5F5F5" w:val="clear"/>
        <w:spacing w:after="120"/>
      </w:pPr>
      <w:r>
        <w:rPr>
          <w:rFonts w:ascii="Consolas" w:cs="Consolas" w:eastAsia="Consolas" w:hAnsi="Consolas"/>
          <w:sz w:val="19"/>
          <w:szCs w:val="19"/>
        </w:rPr>
        <w:t xml:space="preserve">    depends_on:</w:t>
      </w:r>
    </w:p>
    <w:p>
      <w:pPr>
        <w:shd w:fill="F5F5F5" w:val="clear"/>
        <w:spacing w:after="120"/>
      </w:pPr>
      <w:r>
        <w:rPr>
          <w:rFonts w:ascii="Consolas" w:cs="Consolas" w:eastAsia="Consolas" w:hAnsi="Consolas"/>
          <w:sz w:val="19"/>
          <w:szCs w:val="19"/>
        </w:rPr>
        <w:t xml:space="preserve">      - db</w:t>
      </w:r>
    </w:p>
    <w:p>
      <w:pPr>
        <w:shd w:fill="F5F5F5" w:val="clear"/>
        <w:spacing w:after="120"/>
      </w:pPr>
      <w:r>
        <w:rPr>
          <w:rFonts w:ascii="Consolas" w:cs="Consolas" w:eastAsia="Consolas" w:hAnsi="Consolas"/>
          <w:sz w:val="19"/>
          <w:szCs w:val="19"/>
        </w:rPr>
        <w:t xml:space="preserve"/>
      </w:r>
    </w:p>
    <w:p>
      <w:pPr>
        <w:shd w:fill="F5F5F5" w:val="clear"/>
        <w:spacing w:after="120"/>
      </w:pPr>
      <w:r>
        <w:rPr>
          <w:rFonts w:ascii="Consolas" w:cs="Consolas" w:eastAsia="Consolas" w:hAnsi="Consolas"/>
          <w:sz w:val="19"/>
          <w:szCs w:val="19"/>
        </w:rPr>
        <w:t xml:space="preserve">  db:</w:t>
      </w:r>
    </w:p>
    <w:p>
      <w:pPr>
        <w:shd w:fill="F5F5F5" w:val="clear"/>
        <w:spacing w:after="120"/>
      </w:pPr>
      <w:r>
        <w:rPr>
          <w:rFonts w:ascii="Consolas" w:cs="Consolas" w:eastAsia="Consolas" w:hAnsi="Consolas"/>
          <w:sz w:val="19"/>
          <w:szCs w:val="19"/>
        </w:rPr>
        <w:t xml:space="preserve">    image: mysql:8</w:t>
      </w:r>
    </w:p>
    <w:p>
      <w:pPr>
        <w:shd w:fill="F5F5F5" w:val="clear"/>
        <w:spacing w:after="120"/>
      </w:pPr>
      <w:r>
        <w:rPr>
          <w:rFonts w:ascii="Consolas" w:cs="Consolas" w:eastAsia="Consolas" w:hAnsi="Consolas"/>
          <w:sz w:val="19"/>
          <w:szCs w:val="19"/>
        </w:rPr>
        <w:t xml:space="preserve">    environment:</w:t>
      </w:r>
    </w:p>
    <w:p>
      <w:pPr>
        <w:shd w:fill="F5F5F5" w:val="clear"/>
        <w:spacing w:after="120"/>
      </w:pPr>
      <w:r>
        <w:rPr>
          <w:rFonts w:ascii="Consolas" w:cs="Consolas" w:eastAsia="Consolas" w:hAnsi="Consolas"/>
          <w:sz w:val="19"/>
          <w:szCs w:val="19"/>
        </w:rPr>
        <w:t xml:space="preserve">      MYSQL_DATABASE: sigec</w:t>
      </w:r>
    </w:p>
    <w:p>
      <w:pPr>
        <w:shd w:fill="F5F5F5" w:val="clear"/>
        <w:spacing w:after="120"/>
      </w:pPr>
      <w:r>
        <w:rPr>
          <w:rFonts w:ascii="Consolas" w:cs="Consolas" w:eastAsia="Consolas" w:hAnsi="Consolas"/>
          <w:sz w:val="19"/>
          <w:szCs w:val="19"/>
        </w:rPr>
        <w:t xml:space="preserve">      MYSQL_ROOT_PASSWORD: ********</w:t>
      </w:r>
    </w:p>
    <w:p>
      <w:pPr>
        <w:shd w:fill="F5F5F5" w:val="clear"/>
        <w:spacing w:after="120"/>
      </w:pPr>
      <w:r>
        <w:rPr>
          <w:rFonts w:ascii="Consolas" w:cs="Consolas" w:eastAsia="Consolas" w:hAnsi="Consolas"/>
          <w:sz w:val="19"/>
          <w:szCs w:val="19"/>
        </w:rPr>
        <w:t xml:space="preserve">    volumes:</w:t>
      </w:r>
    </w:p>
    <w:p>
      <w:pPr>
        <w:shd w:fill="F5F5F5" w:val="clear"/>
        <w:spacing w:after="120"/>
      </w:pPr>
      <w:r>
        <w:rPr>
          <w:rFonts w:ascii="Consolas" w:cs="Consolas" w:eastAsia="Consolas" w:hAnsi="Consolas"/>
          <w:sz w:val="19"/>
          <w:szCs w:val="19"/>
        </w:rPr>
        <w:t xml:space="preserve">      - db_data:/var/lib/mysql</w:t>
      </w:r>
    </w:p>
    <w:p>
      <w:pPr>
        <w:shd w:fill="F5F5F5" w:val="clear"/>
        <w:spacing w:after="120"/>
      </w:pPr>
      <w:r>
        <w:rPr>
          <w:rFonts w:ascii="Consolas" w:cs="Consolas" w:eastAsia="Consolas" w:hAnsi="Consolas"/>
          <w:sz w:val="19"/>
          <w:szCs w:val="19"/>
        </w:rPr>
        <w:t xml:space="preserve"/>
      </w:r>
    </w:p>
    <w:p>
      <w:pPr>
        <w:shd w:fill="F5F5F5" w:val="clear"/>
        <w:spacing w:after="120"/>
      </w:pPr>
      <w:r>
        <w:rPr>
          <w:rFonts w:ascii="Consolas" w:cs="Consolas" w:eastAsia="Consolas" w:hAnsi="Consolas"/>
          <w:sz w:val="19"/>
          <w:szCs w:val="19"/>
        </w:rPr>
        <w:t xml:space="preserve">  frontend:</w:t>
      </w:r>
    </w:p>
    <w:p>
      <w:pPr>
        <w:shd w:fill="F5F5F5" w:val="clear"/>
        <w:spacing w:after="120"/>
      </w:pPr>
      <w:r>
        <w:rPr>
          <w:rFonts w:ascii="Consolas" w:cs="Consolas" w:eastAsia="Consolas" w:hAnsi="Consolas"/>
          <w:sz w:val="19"/>
          <w:szCs w:val="19"/>
        </w:rPr>
        <w:t xml:space="preserve">    build: .</w:t>
      </w:r>
    </w:p>
    <w:p>
      <w:pPr>
        <w:shd w:fill="F5F5F5" w:val="clear"/>
        <w:spacing w:after="120"/>
      </w:pPr>
      <w:r>
        <w:rPr>
          <w:rFonts w:ascii="Consolas" w:cs="Consolas" w:eastAsia="Consolas" w:hAnsi="Consolas"/>
          <w:sz w:val="19"/>
          <w:szCs w:val="19"/>
        </w:rPr>
        <w:t xml:space="preserve">    ports:</w:t>
      </w:r>
    </w:p>
    <w:p>
      <w:pPr>
        <w:shd w:fill="F5F5F5" w:val="clear"/>
        <w:spacing w:after="120"/>
      </w:pPr>
      <w:r>
        <w:rPr>
          <w:rFonts w:ascii="Consolas" w:cs="Consolas" w:eastAsia="Consolas" w:hAnsi="Consolas"/>
          <w:sz w:val="19"/>
          <w:szCs w:val="19"/>
        </w:rPr>
        <w:t xml:space="preserve">      - "80:8080"</w:t>
      </w:r>
    </w:p>
    <w:p>
      <w:pPr>
        <w:shd w:fill="F5F5F5" w:val="clear"/>
        <w:spacing w:after="120"/>
      </w:pPr>
      <w:r>
        <w:rPr>
          <w:rFonts w:ascii="Consolas" w:cs="Consolas" w:eastAsia="Consolas" w:hAnsi="Consolas"/>
          <w:sz w:val="19"/>
          <w:szCs w:val="19"/>
        </w:rPr>
        <w:t xml:space="preserve">    depends_on:</w:t>
      </w:r>
    </w:p>
    <w:p>
      <w:pPr>
        <w:shd w:fill="F5F5F5" w:val="clear"/>
        <w:spacing w:after="120"/>
      </w:pPr>
      <w:r>
        <w:rPr>
          <w:rFonts w:ascii="Consolas" w:cs="Consolas" w:eastAsia="Consolas" w:hAnsi="Consolas"/>
          <w:sz w:val="19"/>
          <w:szCs w:val="19"/>
        </w:rPr>
        <w:t xml:space="preserve">      - backend</w:t>
      </w:r>
    </w:p>
    <w:p>
      <w:r>
        <w:br w:type="page"/>
      </w:r>
    </w:p>
    <w:p>
      <w:pPr>
        <w:pStyle w:val="Heading1"/>
        <w:spacing w:after="160" w:before="320"/>
      </w:pPr>
      <w:r>
        <w:rPr>
          <w:b/>
          <w:bCs/>
          <w:color w:val="C0392B"/>
        </w:rPr>
        <w:t xml:space="preserve">8. Lista de Verificación Post-Despliegue</w:t>
      </w:r>
    </w:p>
    <w:p>
      <w:pPr>
        <w:pStyle w:val="ListParagraph"/>
        <w:numPr>
          <w:ilvl w:val="0"/>
          <w:numId w:val="1"/>
        </w:numPr>
        <w:spacing w:after="60"/>
      </w:pPr>
      <w:r>
        <w:t xml:space="preserve">La API responde correctamente en /api/v1/auth/validate-token con un token válido.</w:t>
      </w:r>
    </w:p>
    <w:p>
      <w:pPr>
        <w:pStyle w:val="ListParagraph"/>
        <w:numPr>
          <w:ilvl w:val="0"/>
          <w:numId w:val="1"/>
        </w:numPr>
        <w:spacing w:after="60"/>
      </w:pPr>
      <w:r>
        <w:t xml:space="preserve">El frontend carga correctamente y puede autenticar usuarios contra la API configurada en VITE_API_URL.</w:t>
      </w:r>
    </w:p>
    <w:p>
      <w:pPr>
        <w:pStyle w:val="ListParagraph"/>
        <w:numPr>
          <w:ilvl w:val="0"/>
          <w:numId w:val="1"/>
        </w:numPr>
        <w:spacing w:after="60"/>
      </w:pPr>
      <w:r>
        <w:t xml:space="preserve">Las migraciones se aplicaron correctamente y las tablas esperadas existen en la base de datos (incluyendo la tabla de auditoría).</w:t>
      </w:r>
    </w:p>
    <w:p>
      <w:pPr>
        <w:pStyle w:val="ListParagraph"/>
        <w:numPr>
          <w:ilvl w:val="0"/>
          <w:numId w:val="1"/>
        </w:numPr>
        <w:spacing w:after="60"/>
      </w:pPr>
      <w:r>
        <w:t xml:space="preserve">Las variables de entorno sensibles (JWT_SECRET, credenciales de base de datos) están configuradas de forma segura y no se encuentran en el control de versiones.</w:t>
      </w:r>
    </w:p>
    <w:p>
      <w:pPr>
        <w:pStyle w:val="ListParagraph"/>
        <w:numPr>
          <w:ilvl w:val="0"/>
          <w:numId w:val="1"/>
        </w:numPr>
        <w:spacing w:after="60"/>
      </w:pPr>
      <w:r>
        <w:t xml:space="preserve">La carga masiva de archivos Excel (módulo /upload) funciona correctamente con un archivo de prueba con formato MSPAS.</w:t>
      </w:r>
    </w:p>
    <w:p>
      <w:pPr>
        <w:pStyle w:val="ListParagraph"/>
        <w:numPr>
          <w:ilvl w:val="0"/>
          <w:numId w:val="1"/>
        </w:numPr>
        <w:spacing w:after="60"/>
      </w:pPr>
      <w:r>
        <w:t xml:space="preserve">La bitácora de auditoría registra correctamente eventos de inicio y cierre de sesión, así como las demás acciones del sistema.</w:t>
      </w:r>
    </w:p>
    <w:p>
      <w:pPr>
        <w:pStyle w:val="ListParagraph"/>
        <w:numPr>
          <w:ilvl w:val="0"/>
          <w:numId w:val="1"/>
        </w:numPr>
        <w:spacing w:after="60"/>
      </w:pPr>
      <w:r>
        <w:t xml:space="preserve">El healthcheck del contenedor del frontend responde correctamente (HTTP 200 en el puerto 8080).</w:t>
      </w:r>
    </w:p>
    <w:p>
      <w:pPr>
        <w:pStyle w:val="Heading1"/>
        <w:spacing w:after="160" w:before="320"/>
      </w:pPr>
      <w:r>
        <w:rPr>
          <w:b/>
          <w:bCs/>
          <w:color w:val="C0392B"/>
        </w:rPr>
        <w:t xml:space="preserve">9. Mantenimiento y Actualizaciones</w:t>
      </w:r>
    </w:p>
    <w:p>
      <w:pPr>
        <w:pStyle w:val="ListParagraph"/>
        <w:numPr>
          <w:ilvl w:val="0"/>
          <w:numId w:val="1"/>
        </w:numPr>
        <w:spacing w:after="60"/>
      </w:pPr>
      <w:r>
        <w:t xml:space="preserve">Para aplicar nuevas migraciones en producción: ejecutar npx sequelize-cli db:migrate dentro del contenedor del backend (o como parte del pipeline de despliegue), evitando el uso de db:migrate:undo:all en producción.</w:t>
      </w:r>
    </w:p>
    <w:p>
      <w:pPr>
        <w:pStyle w:val="ListParagraph"/>
        <w:numPr>
          <w:ilvl w:val="0"/>
          <w:numId w:val="1"/>
        </w:numPr>
        <w:spacing w:after="60"/>
      </w:pPr>
      <w:r>
        <w:t xml:space="preserve">Para actualizar el frontend: reconstruir la imagen Docker (docker build) tras cada cambio de código, ya que el build de Vite es estático y se genera en tiempo de construcción de la imagen.</w:t>
      </w:r>
    </w:p>
    <w:p>
      <w:pPr>
        <w:pStyle w:val="ListParagraph"/>
        <w:numPr>
          <w:ilvl w:val="0"/>
          <w:numId w:val="1"/>
        </w:numPr>
        <w:spacing w:after="60"/>
      </w:pPr>
      <w:r>
        <w:t xml:space="preserve">Para rotar el JWT_SECRET: coordinar el cambio con un reinicio del backend, ya que invalidará todas las sesiones activas (los usuarios deberán iniciar sesión nuevamente).</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pPr>
    <w:r>
      <w:rPr>
        <w:color w:val="6D6D6D"/>
        <w:sz w:val="14"/>
        <w:szCs w:val="14"/>
      </w:rPr>
      <w:t xml:space="preserve">DOC-05 · Documentación Técnica SIGEC</w:t>
    </w:r>
    <w:r>
      <w:rPr>
        <w:color w:val="6D6D6D"/>
        <w:sz w:val="14"/>
        <w:szCs w:val="14"/>
      </w:rPr>
      <w:t xml:space="preserve">	Página </w:t>
    </w:r>
    <w:r>
      <w:rPr>
        <w:color w:val="6D6D6D"/>
        <w:sz w:val="14"/>
        <w:szCs w:val="14"/>
      </w:rPr>
      <w:fldChar w:fldCharType="begin"/>
      <w:instrText xml:space="preserve">PAGE</w:instrText>
      <w:fldChar w:fldCharType="separate"/>
      <w:fldChar w:fldCharType="end"/>
    </w:r>
    <w:r>
      <w:rPr>
        <w:color w:val="6D6D6D"/>
        <w:sz w:val="14"/>
        <w:szCs w:val="14"/>
      </w:rPr>
      <w:t xml:space="preserve"> de </w:t>
    </w:r>
    <w:r>
      <w:rPr>
        <w:color w:val="6D6D6D"/>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pBdr>
      <w:tabs>
        <w:tab w:val="right" w:pos="9026"/>
      </w:tabs>
    </w:pPr>
    <w:r>
      <w:rPr>
        <w:b/>
        <w:bCs/>
        <w:color w:val="C0392B"/>
        <w:sz w:val="16"/>
        <w:szCs w:val="16"/>
      </w:rPr>
      <w:t xml:space="preserve">SIGEC - Sistema de Información y Gestión de Casos</w:t>
    </w:r>
    <w:r>
      <w:rPr>
        <w:color w:val="6D6D6D"/>
        <w:sz w:val="16"/>
        <w:szCs w:val="16"/>
      </w:rPr>
      <w:t xml:space="preserve">	MINEDUC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Procedimientos de Instalación, Configuración y Despliegue</dc:title>
  <dc:creator>MINEDUC - SIGEC</dc:creator>
  <dc:description>Documentación técnica SIGEC - Procedimientos de Instalación, Configuración y Despliegue</dc:description>
  <cp:lastModifiedBy>Un-named</cp:lastModifiedBy>
  <cp:revision>1</cp:revision>
  <dcterms:created xsi:type="dcterms:W3CDTF">2026-06-12T21:45:55.795Z</dcterms:created>
  <dcterms:modified xsi:type="dcterms:W3CDTF">2026-06-12T21:45:55.795Z</dcterms:modified>
</cp:coreProperties>
</file>

<file path=docProps/custom.xml><?xml version="1.0" encoding="utf-8"?>
<Properties xmlns="http://schemas.openxmlformats.org/officeDocument/2006/custom-properties" xmlns:vt="http://schemas.openxmlformats.org/officeDocument/2006/docPropsVTypes"/>
</file>