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90"/>
      </w:pPr>
      <w:r>
        <w:drawing>
          <wp:inline distT="0" distB="0" distL="0" distR="0">
            <wp:extent cx="838200" cy="8382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838200" cy="838200"/>
                    </a:xfrm>
                    <a:prstGeom prst="rect">
                      <a:avLst/>
                    </a:prstGeom>
                  </pic:spPr>
                </pic:pic>
              </a:graphicData>
            </a:graphic>
          </wp:inline>
        </w:drawing>
      </w:r>
    </w:p>
    <w:p>
      <w:pPr>
        <w:spacing w:after="30"/>
      </w:pPr>
      <w:r>
        <w:rPr>
          <w:b/>
          <w:bCs/>
          <w:color w:val="2D7B5F"/>
          <w:sz w:val="40"/>
          <w:szCs w:val="40"/>
        </w:rPr>
        <w:t xml:space="preserve">Inquew — UI Design Brief</w:t>
      </w:r>
    </w:p>
    <w:p>
      <w:pPr>
        <w:spacing w:after="20"/>
      </w:pPr>
      <w:r>
        <w:rPr>
          <w:b/>
          <w:bCs/>
          <w:color w:val="374151"/>
          <w:sz w:val="22"/>
          <w:szCs w:val="22"/>
        </w:rPr>
        <w:t xml:space="preserve">Handoff document for Claude Design — mockup phase, prior to Claude Code build</w:t>
      </w:r>
    </w:p>
    <w:p>
      <w:pPr>
        <w:spacing w:after="10"/>
      </w:pPr>
      <w:r>
        <w:rPr>
          <w:i/>
          <w:iCs/>
          <w:color w:val="6B7280"/>
          <w:sz w:val="18"/>
          <w:szCs w:val="18"/>
        </w:rPr>
        <w:t xml:space="preserve">Prepared for: Inquew (Kenny Isibor, Founder) — Competitive Analysis &amp; Tech Implementation Consulting Research Program</w:t>
      </w:r>
    </w:p>
    <w:p>
      <w:pPr>
        <w:spacing w:after="200"/>
      </w:pPr>
      <w:r>
        <w:rPr>
          <w:i/>
          <w:iCs/>
          <w:color w:val="6B7280"/>
          <w:sz w:val="18"/>
          <w:szCs w:val="18"/>
        </w:rPr>
        <w:t xml:space="preserve">Compiled: August 21, 2026  ·  v2 — fonts finalized, tier-color mapping confirmed, expanded scope</w:t>
      </w:r>
    </w:p>
    <w:p>
      <w:pPr>
        <w:pStyle w:val="Heading1"/>
        <w:spacing w:after="120" w:before="260"/>
      </w:pPr>
      <w:r>
        <w:t xml:space="preserve">1. Project Overview</w:t>
      </w:r>
    </w:p>
    <w:p>
      <w:pPr>
        <w:spacing w:after="130"/>
        <w:jc w:val="both"/>
      </w:pPr>
      <w:r>
        <w:t xml:space="preserve">Inquew is an a la carte consulting platform that lets businesses of any size pick and choose individual consulting deliverables at transparent, affordable prices ($60–$1,500 per item), instead of committing to a full traditional engagement. Clients submit a two-minute video describing their business problem, receive three AI-generated candidate problem statements to choose from, then select deliverables from a menu — each one created by a human consultant (AI-assisted, never AI-authored) and always reviewed before delivery. This brief translates that product and the brand assets provided into a scope Claude Design can mock up directly, then hand to Claude Code for build.</w:t>
      </w:r>
    </w:p>
    <w:p>
      <w:pPr>
        <w:pStyle w:val="Heading1"/>
        <w:spacing w:after="120" w:before="260"/>
      </w:pPr>
      <w:r>
        <w:t xml:space="preserve">2. Brand Identity</w:t>
      </w:r>
    </w:p>
    <w:p>
      <w:pPr>
        <w:pStyle w:val="Heading2"/>
        <w:spacing w:after="90" w:before="200"/>
      </w:pPr>
      <w:r>
        <w:t xml:space="preserve">2.1 Logo</w:t>
      </w:r>
    </w:p>
    <w:p>
      <w:pPr>
        <w:spacing w:after="130"/>
        <w:jc w:val="both"/>
      </w:pPr>
      <w:r>
        <w:t xml:space="preserve">The Inquew wordmark pairs a hand-drawn feather-quill illustration with a clean geometric wordmark, set on a warm off-white "Porcelain" background. Keep generous clear space around the mark; do not recolor the feather illustration or stretch/distort the lockup. The logo works best on light backgrounds — for any dark section (e.g., a footer or dark hero treatment), use a reversed/white version rather than placing the current teal-on-cream lockup directly on a dark fill.</w:t>
      </w:r>
    </w:p>
    <w:p>
      <w:pPr>
        <w:pStyle w:val="Heading2"/>
        <w:spacing w:after="90" w:before="200"/>
      </w:pPr>
      <w:r>
        <w:t xml:space="preserve">2.2 Color Palette</w:t>
      </w:r>
    </w:p>
    <w:p>
      <w:pPr>
        <w:spacing w:after="130"/>
        <w:jc w:val="both"/>
      </w:pPr>
      <w:r>
        <w:t xml:space="preserve">Two source files were provided: a 5-color "Inquew Color palette" PDF and the logo itself. The logo's actual on-brand colors (muted teal, warm porcelain, soft gold) are a subset of that palette; the two bright cyans in the PDF don't appear in the logo but read as a natural digital-accent pop against the vintage feather mark. This role mapping is confirmed:</w:t>
      </w:r>
    </w:p>
    <w:tbl>
      <w:tblPr>
        <w:tblW w:type="dxa" w:w="8840"/>
        <w:tblBorders>
          <w:top w:val="single" w:color="auto" w:sz="4"/>
          <w:left w:val="single" w:color="auto" w:sz="4"/>
          <w:bottom w:val="single" w:color="auto" w:sz="4"/>
          <w:right w:val="single" w:color="auto" w:sz="4"/>
          <w:insideH w:val="single" w:color="auto" w:sz="4"/>
          <w:insideV w:val="single" w:color="auto" w:sz="4"/>
        </w:tblBorders>
      </w:tblPr>
      <w:tblGrid>
        <w:gridCol w:w="1400"/>
        <w:gridCol w:w="1800"/>
        <w:gridCol w:w="2400"/>
        <w:gridCol w:w="3240"/>
      </w:tblGrid>
      <w:tr>
        <w:trPr>
          <w:tblHeader/>
        </w:trPr>
        <w:tc>
          <w:tcPr>
            <w:tcW w:type="dxa" w:w="1400"/>
            <w:shd w:fill="1E3A5F" w:val="clear"/>
            <w:tcMar>
              <w:top w:type="dxa" w:w="50"/>
              <w:left w:type="dxa" w:w="90"/>
              <w:bottom w:type="dxa" w:w="50"/>
              <w:right w:type="dxa" w:w="90"/>
            </w:tcMar>
          </w:tcPr>
          <w:p>
            <w:r>
              <w:rPr>
                <w:b/>
                <w:bCs/>
                <w:color w:val="FFFFFF"/>
                <w:sz w:val="16"/>
                <w:szCs w:val="16"/>
              </w:rPr>
              <w:t xml:space="preserve">Swatch</w:t>
            </w:r>
          </w:p>
        </w:tc>
        <w:tc>
          <w:tcPr>
            <w:tcW w:type="dxa" w:w="1800"/>
            <w:shd w:fill="1E3A5F" w:val="clear"/>
            <w:tcMar>
              <w:top w:type="dxa" w:w="50"/>
              <w:left w:type="dxa" w:w="90"/>
              <w:bottom w:type="dxa" w:w="50"/>
              <w:right w:type="dxa" w:w="90"/>
            </w:tcMar>
          </w:tcPr>
          <w:p>
            <w:r>
              <w:rPr>
                <w:b/>
                <w:bCs/>
                <w:color w:val="FFFFFF"/>
                <w:sz w:val="16"/>
                <w:szCs w:val="16"/>
              </w:rPr>
              <w:t xml:space="preserve">Hex</w:t>
            </w:r>
          </w:p>
        </w:tc>
        <w:tc>
          <w:tcPr>
            <w:tcW w:type="dxa" w:w="2400"/>
            <w:shd w:fill="1E3A5F" w:val="clear"/>
            <w:tcMar>
              <w:top w:type="dxa" w:w="50"/>
              <w:left w:type="dxa" w:w="90"/>
              <w:bottom w:type="dxa" w:w="50"/>
              <w:right w:type="dxa" w:w="90"/>
            </w:tcMar>
          </w:tcPr>
          <w:p>
            <w:r>
              <w:rPr>
                <w:b/>
                <w:bCs/>
                <w:color w:val="FFFFFF"/>
                <w:sz w:val="16"/>
                <w:szCs w:val="16"/>
              </w:rPr>
              <w:t xml:space="preserve">Role</w:t>
            </w:r>
          </w:p>
        </w:tc>
        <w:tc>
          <w:tcPr>
            <w:tcW w:type="dxa" w:w="3240"/>
            <w:shd w:fill="1E3A5F" w:val="clear"/>
            <w:tcMar>
              <w:top w:type="dxa" w:w="50"/>
              <w:left w:type="dxa" w:w="90"/>
              <w:bottom w:type="dxa" w:w="50"/>
              <w:right w:type="dxa" w:w="90"/>
            </w:tcMar>
          </w:tcPr>
          <w:p>
            <w:r>
              <w:rPr>
                <w:b/>
                <w:bCs/>
                <w:color w:val="FFFFFF"/>
                <w:sz w:val="16"/>
                <w:szCs w:val="16"/>
              </w:rPr>
              <w:t xml:space="preserve">Usage Guidance</w:t>
            </w:r>
          </w:p>
        </w:tc>
      </w:tr>
      <w:tr>
        <w:tc>
          <w:tcPr>
            <w:tcW w:type="dxa" w:w="1400"/>
            <w:shd w:fill="FDFCF9" w:val="clear"/>
            <w:tcMar>
              <w:top w:type="dxa" w:w="40"/>
              <w:left w:type="dxa" w:w="90"/>
              <w:bottom w:type="dxa" w:w="40"/>
              <w:right w:type="dxa" w:w="90"/>
            </w:tcMar>
          </w:tcPr>
          <w:p>
            <w:r>
              <w:rPr>
                <w:sz w:val="16"/>
                <w:szCs w:val="16"/>
              </w:rPr>
              <w:t xml:space="preserve"> </w:t>
            </w:r>
          </w:p>
        </w:tc>
        <w:tc>
          <w:tcPr>
            <w:tcW w:type="dxa" w:w="1800"/>
            <w:tcMar>
              <w:top w:type="dxa" w:w="40"/>
              <w:left w:type="dxa" w:w="90"/>
              <w:bottom w:type="dxa" w:w="40"/>
              <w:right w:type="dxa" w:w="90"/>
            </w:tcMar>
          </w:tcPr>
          <w:p>
            <w:r>
              <w:rPr>
                <w:b/>
                <w:bCs/>
                <w:sz w:val="16"/>
                <w:szCs w:val="16"/>
              </w:rPr>
              <w:t xml:space="preserve">#FDFCF9</w:t>
            </w:r>
          </w:p>
        </w:tc>
        <w:tc>
          <w:tcPr>
            <w:tcW w:type="dxa" w:w="2400"/>
            <w:tcMar>
              <w:top w:type="dxa" w:w="40"/>
              <w:left w:type="dxa" w:w="90"/>
              <w:bottom w:type="dxa" w:w="40"/>
              <w:right w:type="dxa" w:w="90"/>
            </w:tcMar>
          </w:tcPr>
          <w:p>
            <w:r>
              <w:rPr>
                <w:b/>
                <w:bCs/>
                <w:sz w:val="16"/>
                <w:szCs w:val="16"/>
              </w:rPr>
              <w:t xml:space="preserve">Porcelain — Base background</w:t>
            </w:r>
          </w:p>
        </w:tc>
        <w:tc>
          <w:tcPr>
            <w:tcW w:type="dxa" w:w="3240"/>
            <w:tcMar>
              <w:top w:type="dxa" w:w="40"/>
              <w:left w:type="dxa" w:w="90"/>
              <w:bottom w:type="dxa" w:w="40"/>
              <w:right w:type="dxa" w:w="90"/>
            </w:tcMar>
          </w:tcPr>
          <w:p>
            <w:r>
              <w:rPr>
                <w:sz w:val="16"/>
                <w:szCs w:val="16"/>
              </w:rPr>
              <w:t xml:space="preserve">Primary page background site-wide, matching the logo's native background exactly.</w:t>
            </w:r>
          </w:p>
        </w:tc>
      </w:tr>
      <w:tr>
        <w:tc>
          <w:tcPr>
            <w:tcW w:type="dxa" w:w="1400"/>
            <w:shd w:fill="2D7B5F" w:val="clear"/>
            <w:tcMar>
              <w:top w:type="dxa" w:w="40"/>
              <w:left w:type="dxa" w:w="90"/>
              <w:bottom w:type="dxa" w:w="40"/>
              <w:right w:type="dxa" w:w="90"/>
            </w:tcMar>
          </w:tcPr>
          <w:p>
            <w:r>
              <w:rPr>
                <w:sz w:val="16"/>
                <w:szCs w:val="16"/>
              </w:rPr>
              <w:t xml:space="preserve"> </w:t>
            </w:r>
          </w:p>
        </w:tc>
        <w:tc>
          <w:tcPr>
            <w:tcW w:type="dxa" w:w="1800"/>
            <w:tcMar>
              <w:top w:type="dxa" w:w="40"/>
              <w:left w:type="dxa" w:w="90"/>
              <w:bottom w:type="dxa" w:w="40"/>
              <w:right w:type="dxa" w:w="90"/>
            </w:tcMar>
          </w:tcPr>
          <w:p>
            <w:r>
              <w:rPr>
                <w:b/>
                <w:bCs/>
                <w:sz w:val="16"/>
                <w:szCs w:val="16"/>
              </w:rPr>
              <w:t xml:space="preserve">#2D7B5F</w:t>
            </w:r>
          </w:p>
        </w:tc>
        <w:tc>
          <w:tcPr>
            <w:tcW w:type="dxa" w:w="2400"/>
            <w:tcMar>
              <w:top w:type="dxa" w:w="40"/>
              <w:left w:type="dxa" w:w="90"/>
              <w:bottom w:type="dxa" w:w="40"/>
              <w:right w:type="dxa" w:w="90"/>
            </w:tcMar>
          </w:tcPr>
          <w:p>
            <w:r>
              <w:rPr>
                <w:b/>
                <w:bCs/>
                <w:sz w:val="16"/>
                <w:szCs w:val="16"/>
              </w:rPr>
              <w:t xml:space="preserve">Primary teal — Brand color</w:t>
            </w:r>
          </w:p>
        </w:tc>
        <w:tc>
          <w:tcPr>
            <w:tcW w:type="dxa" w:w="3240"/>
            <w:tcMar>
              <w:top w:type="dxa" w:w="40"/>
              <w:left w:type="dxa" w:w="90"/>
              <w:bottom w:type="dxa" w:w="40"/>
              <w:right w:type="dxa" w:w="90"/>
            </w:tcMar>
          </w:tcPr>
          <w:p>
            <w:r>
              <w:rPr>
                <w:sz w:val="16"/>
                <w:szCs w:val="16"/>
              </w:rPr>
              <w:t xml:space="preserve">Primary nav, headline accents, logo color, Tier 2 badge (see 2.4). This is the color that matches the logo wordmark and feather.</w:t>
            </w:r>
          </w:p>
        </w:tc>
      </w:tr>
      <w:tr>
        <w:tc>
          <w:tcPr>
            <w:tcW w:type="dxa" w:w="1400"/>
            <w:shd w:fill="978E4C" w:val="clear"/>
            <w:tcMar>
              <w:top w:type="dxa" w:w="40"/>
              <w:left w:type="dxa" w:w="90"/>
              <w:bottom w:type="dxa" w:w="40"/>
              <w:right w:type="dxa" w:w="90"/>
            </w:tcMar>
          </w:tcPr>
          <w:p>
            <w:r>
              <w:rPr>
                <w:sz w:val="16"/>
                <w:szCs w:val="16"/>
              </w:rPr>
              <w:t xml:space="preserve"> </w:t>
            </w:r>
          </w:p>
        </w:tc>
        <w:tc>
          <w:tcPr>
            <w:tcW w:type="dxa" w:w="1800"/>
            <w:tcMar>
              <w:top w:type="dxa" w:w="40"/>
              <w:left w:type="dxa" w:w="90"/>
              <w:bottom w:type="dxa" w:w="40"/>
              <w:right w:type="dxa" w:w="90"/>
            </w:tcMar>
          </w:tcPr>
          <w:p>
            <w:r>
              <w:rPr>
                <w:b/>
                <w:bCs/>
                <w:sz w:val="16"/>
                <w:szCs w:val="16"/>
              </w:rPr>
              <w:t xml:space="preserve">#978E4C</w:t>
            </w:r>
          </w:p>
        </w:tc>
        <w:tc>
          <w:tcPr>
            <w:tcW w:type="dxa" w:w="2400"/>
            <w:tcMar>
              <w:top w:type="dxa" w:w="40"/>
              <w:left w:type="dxa" w:w="90"/>
              <w:bottom w:type="dxa" w:w="40"/>
              <w:right w:type="dxa" w:w="90"/>
            </w:tcMar>
          </w:tcPr>
          <w:p>
            <w:r>
              <w:rPr>
                <w:b/>
                <w:bCs/>
                <w:sz w:val="16"/>
                <w:szCs w:val="16"/>
              </w:rPr>
              <w:t xml:space="preserve">Muted gold — Secondary accent / Tier 1 badge</w:t>
            </w:r>
          </w:p>
        </w:tc>
        <w:tc>
          <w:tcPr>
            <w:tcW w:type="dxa" w:w="3240"/>
            <w:tcMar>
              <w:top w:type="dxa" w:w="40"/>
              <w:left w:type="dxa" w:w="90"/>
              <w:bottom w:type="dxa" w:w="40"/>
              <w:right w:type="dxa" w:w="90"/>
            </w:tcMar>
          </w:tcPr>
          <w:p>
            <w:r>
              <w:rPr>
                <w:sz w:val="16"/>
                <w:szCs w:val="16"/>
              </w:rPr>
              <w:t xml:space="preserve">Tier 1 badge, icon accents, star ratings, subtle highlights. Echoes the quill tip in the logo.</w:t>
            </w:r>
          </w:p>
        </w:tc>
      </w:tr>
      <w:tr>
        <w:tc>
          <w:tcPr>
            <w:tcW w:type="dxa" w:w="1400"/>
            <w:shd w:fill="425206" w:val="clear"/>
            <w:tcMar>
              <w:top w:type="dxa" w:w="40"/>
              <w:left w:type="dxa" w:w="90"/>
              <w:bottom w:type="dxa" w:w="40"/>
              <w:right w:type="dxa" w:w="90"/>
            </w:tcMar>
          </w:tcPr>
          <w:p>
            <w:r>
              <w:rPr>
                <w:sz w:val="16"/>
                <w:szCs w:val="16"/>
              </w:rPr>
              <w:t xml:space="preserve"> </w:t>
            </w:r>
          </w:p>
        </w:tc>
        <w:tc>
          <w:tcPr>
            <w:tcW w:type="dxa" w:w="1800"/>
            <w:tcMar>
              <w:top w:type="dxa" w:w="40"/>
              <w:left w:type="dxa" w:w="90"/>
              <w:bottom w:type="dxa" w:w="40"/>
              <w:right w:type="dxa" w:w="90"/>
            </w:tcMar>
          </w:tcPr>
          <w:p>
            <w:r>
              <w:rPr>
                <w:b/>
                <w:bCs/>
                <w:sz w:val="16"/>
                <w:szCs w:val="16"/>
              </w:rPr>
              <w:t xml:space="preserve">#425206</w:t>
            </w:r>
          </w:p>
        </w:tc>
        <w:tc>
          <w:tcPr>
            <w:tcW w:type="dxa" w:w="2400"/>
            <w:tcMar>
              <w:top w:type="dxa" w:w="40"/>
              <w:left w:type="dxa" w:w="90"/>
              <w:bottom w:type="dxa" w:w="40"/>
              <w:right w:type="dxa" w:w="90"/>
            </w:tcMar>
          </w:tcPr>
          <w:p>
            <w:r>
              <w:rPr>
                <w:b/>
                <w:bCs/>
                <w:sz w:val="16"/>
                <w:szCs w:val="16"/>
              </w:rPr>
              <w:t xml:space="preserve">Deep olive — Dark neutral / Tier 3 badge</w:t>
            </w:r>
          </w:p>
        </w:tc>
        <w:tc>
          <w:tcPr>
            <w:tcW w:type="dxa" w:w="3240"/>
            <w:tcMar>
              <w:top w:type="dxa" w:w="40"/>
              <w:left w:type="dxa" w:w="90"/>
              <w:bottom w:type="dxa" w:w="40"/>
              <w:right w:type="dxa" w:w="90"/>
            </w:tcMar>
          </w:tcPr>
          <w:p>
            <w:r>
              <w:rPr>
                <w:sz w:val="16"/>
                <w:szCs w:val="16"/>
              </w:rPr>
              <w:t xml:space="preserve">Body text on light backgrounds (instead of pure black), footer background, dark-mode nav, Tier 3 badge.</w:t>
            </w:r>
          </w:p>
        </w:tc>
      </w:tr>
      <w:tr>
        <w:tc>
          <w:tcPr>
            <w:tcW w:type="dxa" w:w="1400"/>
            <w:shd w:fill="13E2E9" w:val="clear"/>
            <w:tcMar>
              <w:top w:type="dxa" w:w="40"/>
              <w:left w:type="dxa" w:w="90"/>
              <w:bottom w:type="dxa" w:w="40"/>
              <w:right w:type="dxa" w:w="90"/>
            </w:tcMar>
          </w:tcPr>
          <w:p>
            <w:r>
              <w:rPr>
                <w:sz w:val="16"/>
                <w:szCs w:val="16"/>
              </w:rPr>
              <w:t xml:space="preserve"> </w:t>
            </w:r>
          </w:p>
        </w:tc>
        <w:tc>
          <w:tcPr>
            <w:tcW w:type="dxa" w:w="1800"/>
            <w:tcMar>
              <w:top w:type="dxa" w:w="40"/>
              <w:left w:type="dxa" w:w="90"/>
              <w:bottom w:type="dxa" w:w="40"/>
              <w:right w:type="dxa" w:w="90"/>
            </w:tcMar>
          </w:tcPr>
          <w:p>
            <w:r>
              <w:rPr>
                <w:b/>
                <w:bCs/>
                <w:sz w:val="16"/>
                <w:szCs w:val="16"/>
              </w:rPr>
              <w:t xml:space="preserve">#13E2E9</w:t>
            </w:r>
          </w:p>
        </w:tc>
        <w:tc>
          <w:tcPr>
            <w:tcW w:type="dxa" w:w="2400"/>
            <w:tcMar>
              <w:top w:type="dxa" w:w="40"/>
              <w:left w:type="dxa" w:w="90"/>
              <w:bottom w:type="dxa" w:w="40"/>
              <w:right w:type="dxa" w:w="90"/>
            </w:tcMar>
          </w:tcPr>
          <w:p>
            <w:r>
              <w:rPr>
                <w:b/>
                <w:bCs/>
                <w:sz w:val="16"/>
                <w:szCs w:val="16"/>
              </w:rPr>
              <w:t xml:space="preserve">Bright cyan — Primary CTA / digital accent</w:t>
            </w:r>
          </w:p>
        </w:tc>
        <w:tc>
          <w:tcPr>
            <w:tcW w:type="dxa" w:w="3240"/>
            <w:tcMar>
              <w:top w:type="dxa" w:w="40"/>
              <w:left w:type="dxa" w:w="90"/>
              <w:bottom w:type="dxa" w:w="40"/>
              <w:right w:type="dxa" w:w="90"/>
            </w:tcMar>
          </w:tcPr>
          <w:p>
            <w:r>
              <w:rPr>
                <w:sz w:val="16"/>
                <w:szCs w:val="16"/>
              </w:rPr>
              <w:t xml:space="preserve">Main call-to-action buttons ("Get Started", "Add to Cart"), links, active states — reserved for interactive actions only, never used as a tier badge (see 2.4).</w:t>
            </w:r>
          </w:p>
        </w:tc>
      </w:tr>
      <w:tr>
        <w:tc>
          <w:tcPr>
            <w:tcW w:type="dxa" w:w="1400"/>
            <w:shd w:fill="2DC6F0" w:val="clear"/>
            <w:tcMar>
              <w:top w:type="dxa" w:w="40"/>
              <w:left w:type="dxa" w:w="90"/>
              <w:bottom w:type="dxa" w:w="40"/>
              <w:right w:type="dxa" w:w="90"/>
            </w:tcMar>
          </w:tcPr>
          <w:p>
            <w:r>
              <w:rPr>
                <w:sz w:val="16"/>
                <w:szCs w:val="16"/>
              </w:rPr>
              <w:t xml:space="preserve"> </w:t>
            </w:r>
          </w:p>
        </w:tc>
        <w:tc>
          <w:tcPr>
            <w:tcW w:type="dxa" w:w="1800"/>
            <w:tcMar>
              <w:top w:type="dxa" w:w="40"/>
              <w:left w:type="dxa" w:w="90"/>
              <w:bottom w:type="dxa" w:w="40"/>
              <w:right w:type="dxa" w:w="90"/>
            </w:tcMar>
          </w:tcPr>
          <w:p>
            <w:r>
              <w:rPr>
                <w:b/>
                <w:bCs/>
                <w:sz w:val="16"/>
                <w:szCs w:val="16"/>
              </w:rPr>
              <w:t xml:space="preserve">#2DC6F0</w:t>
            </w:r>
          </w:p>
        </w:tc>
        <w:tc>
          <w:tcPr>
            <w:tcW w:type="dxa" w:w="2400"/>
            <w:tcMar>
              <w:top w:type="dxa" w:w="40"/>
              <w:left w:type="dxa" w:w="90"/>
              <w:bottom w:type="dxa" w:w="40"/>
              <w:right w:type="dxa" w:w="90"/>
            </w:tcMar>
          </w:tcPr>
          <w:p>
            <w:r>
              <w:rPr>
                <w:b/>
                <w:bCs/>
                <w:sz w:val="16"/>
                <w:szCs w:val="16"/>
              </w:rPr>
              <w:t xml:space="preserve">Sky cyan — Secondary CTA / hover</w:t>
            </w:r>
          </w:p>
        </w:tc>
        <w:tc>
          <w:tcPr>
            <w:tcW w:type="dxa" w:w="3240"/>
            <w:tcMar>
              <w:top w:type="dxa" w:w="40"/>
              <w:left w:type="dxa" w:w="90"/>
              <w:bottom w:type="dxa" w:w="40"/>
              <w:right w:type="dxa" w:w="90"/>
            </w:tcMar>
          </w:tcPr>
          <w:p>
            <w:r>
              <w:rPr>
                <w:sz w:val="16"/>
                <w:szCs w:val="16"/>
              </w:rPr>
              <w:t xml:space="preserve">Hover/active state for the cyan CTA, secondary interactive accents, chart/progress elements.</w:t>
            </w:r>
          </w:p>
        </w:tc>
      </w:tr>
    </w:tbl>
    <w:p>
      <w:pPr>
        <w:pStyle w:val="Heading2"/>
        <w:spacing w:after="90" w:before="200"/>
      </w:pPr>
      <w:r>
        <w:t xml:space="preserve">2.3 Typography — Finalized</w:t>
      </w:r>
    </w:p>
    <w:tbl>
      <w:tblPr>
        <w:tblW w:type="dxa" w:w="8840"/>
        <w:tblBorders>
          <w:top w:val="single" w:color="auto" w:sz="4"/>
          <w:left w:val="single" w:color="auto" w:sz="4"/>
          <w:bottom w:val="single" w:color="auto" w:sz="4"/>
          <w:right w:val="single" w:color="auto" w:sz="4"/>
          <w:insideH w:val="single" w:color="auto" w:sz="4"/>
          <w:insideV w:val="single" w:color="auto" w:sz="4"/>
        </w:tblBorders>
      </w:tblPr>
      <w:tblGrid>
        <w:gridCol w:w="1800"/>
        <w:gridCol w:w="2200"/>
        <w:gridCol w:w="4840"/>
      </w:tblGrid>
      <w:tr>
        <w:trPr>
          <w:tblHeader/>
        </w:trPr>
        <w:tc>
          <w:tcPr>
            <w:tcW w:type="dxa" w:w="1800"/>
            <w:shd w:fill="425206" w:val="clear"/>
            <w:tcMar>
              <w:top w:type="dxa" w:w="50"/>
              <w:left w:type="dxa" w:w="90"/>
              <w:bottom w:type="dxa" w:w="50"/>
              <w:right w:type="dxa" w:w="90"/>
            </w:tcMar>
          </w:tcPr>
          <w:p>
            <w:r>
              <w:rPr>
                <w:b/>
                <w:bCs/>
                <w:color w:val="FFFFFF"/>
                <w:sz w:val="16"/>
                <w:szCs w:val="16"/>
              </w:rPr>
              <w:t xml:space="preserve">Role</w:t>
            </w:r>
          </w:p>
        </w:tc>
        <w:tc>
          <w:tcPr>
            <w:tcW w:type="dxa" w:w="2200"/>
            <w:shd w:fill="425206" w:val="clear"/>
            <w:tcMar>
              <w:top w:type="dxa" w:w="50"/>
              <w:left w:type="dxa" w:w="90"/>
              <w:bottom w:type="dxa" w:w="50"/>
              <w:right w:type="dxa" w:w="90"/>
            </w:tcMar>
          </w:tcPr>
          <w:p>
            <w:r>
              <w:rPr>
                <w:b/>
                <w:bCs/>
                <w:color w:val="FFFFFF"/>
                <w:sz w:val="16"/>
                <w:szCs w:val="16"/>
              </w:rPr>
              <w:t xml:space="preserve">Typeface</w:t>
            </w:r>
          </w:p>
        </w:tc>
        <w:tc>
          <w:tcPr>
            <w:tcW w:type="dxa" w:w="4840"/>
            <w:shd w:fill="425206" w:val="clear"/>
            <w:tcMar>
              <w:top w:type="dxa" w:w="50"/>
              <w:left w:type="dxa" w:w="90"/>
              <w:bottom w:type="dxa" w:w="50"/>
              <w:right w:type="dxa" w:w="90"/>
            </w:tcMar>
          </w:tcPr>
          <w:p>
            <w:r>
              <w:rPr>
                <w:b/>
                <w:bCs/>
                <w:color w:val="FFFFFF"/>
                <w:sz w:val="16"/>
                <w:szCs w:val="16"/>
              </w:rPr>
              <w:t xml:space="preserve">Notes</w:t>
            </w:r>
          </w:p>
        </w:tc>
      </w:tr>
      <w:tr>
        <w:tc>
          <w:tcPr>
            <w:tcW w:type="dxa" w:w="1800"/>
            <w:tcMar>
              <w:top w:type="dxa" w:w="40"/>
              <w:left w:type="dxa" w:w="90"/>
              <w:bottom w:type="dxa" w:w="40"/>
              <w:right w:type="dxa" w:w="90"/>
            </w:tcMar>
          </w:tcPr>
          <w:p>
            <w:r>
              <w:rPr>
                <w:sz w:val="16"/>
                <w:szCs w:val="16"/>
              </w:rPr>
              <w:t xml:space="preserve">Body</w:t>
            </w:r>
          </w:p>
        </w:tc>
        <w:tc>
          <w:tcPr>
            <w:tcW w:type="dxa" w:w="2200"/>
            <w:tcMar>
              <w:top w:type="dxa" w:w="40"/>
              <w:left w:type="dxa" w:w="90"/>
              <w:bottom w:type="dxa" w:w="40"/>
              <w:right w:type="dxa" w:w="90"/>
            </w:tcMar>
          </w:tcPr>
          <w:p>
            <w:r>
              <w:rPr>
                <w:sz w:val="16"/>
                <w:szCs w:val="16"/>
              </w:rPr>
              <w:t xml:space="preserve">Montserrat</w:t>
            </w:r>
          </w:p>
        </w:tc>
        <w:tc>
          <w:tcPr>
            <w:tcW w:type="dxa" w:w="4840"/>
            <w:tcMar>
              <w:top w:type="dxa" w:w="40"/>
              <w:left w:type="dxa" w:w="90"/>
              <w:bottom w:type="dxa" w:w="40"/>
              <w:right w:type="dxa" w:w="90"/>
            </w:tcMar>
          </w:tcPr>
          <w:p>
            <w:r>
              <w:rPr>
                <w:sz w:val="16"/>
                <w:szCs w:val="16"/>
              </w:rPr>
              <w:t xml:space="preserve">Geometric, urban, highly legible at small sizes. Use for paragraph copy, labels, nav, buttons, form fields.</w:t>
            </w:r>
          </w:p>
        </w:tc>
      </w:tr>
      <w:tr>
        <w:tc>
          <w:tcPr>
            <w:tcW w:type="dxa" w:w="1800"/>
            <w:tcMar>
              <w:top w:type="dxa" w:w="40"/>
              <w:left w:type="dxa" w:w="90"/>
              <w:bottom w:type="dxa" w:w="40"/>
              <w:right w:type="dxa" w:w="90"/>
            </w:tcMar>
          </w:tcPr>
          <w:p>
            <w:r>
              <w:rPr>
                <w:sz w:val="16"/>
                <w:szCs w:val="16"/>
              </w:rPr>
              <w:t xml:space="preserve">Headline</w:t>
            </w:r>
          </w:p>
        </w:tc>
        <w:tc>
          <w:tcPr>
            <w:tcW w:type="dxa" w:w="2200"/>
            <w:tcMar>
              <w:top w:type="dxa" w:w="40"/>
              <w:left w:type="dxa" w:w="90"/>
              <w:bottom w:type="dxa" w:w="40"/>
              <w:right w:type="dxa" w:w="90"/>
            </w:tcMar>
          </w:tcPr>
          <w:p>
            <w:r>
              <w:rPr>
                <w:sz w:val="16"/>
                <w:szCs w:val="16"/>
              </w:rPr>
              <w:t xml:space="preserve">Outfit</w:t>
            </w:r>
          </w:p>
        </w:tc>
        <w:tc>
          <w:tcPr>
            <w:tcW w:type="dxa" w:w="4840"/>
            <w:tcMar>
              <w:top w:type="dxa" w:w="40"/>
              <w:left w:type="dxa" w:w="90"/>
              <w:bottom w:type="dxa" w:w="40"/>
              <w:right w:type="dxa" w:w="90"/>
            </w:tcMar>
          </w:tcPr>
          <w:p>
            <w:r>
              <w:rPr>
                <w:sz w:val="16"/>
                <w:szCs w:val="16"/>
              </w:rPr>
              <w:t xml:space="preserve">Confirmed. Geometric and clean, pairs cleanly with Montserrat without the two looking near-identical at large display sizes. Use for H1/H2 page headlines, hero text, and section titles.</w:t>
            </w:r>
          </w:p>
        </w:tc>
      </w:tr>
    </w:tbl>
    <w:p>
      <w:pPr>
        <w:spacing w:after="130"/>
        <w:jc w:val="both"/>
      </w:pPr>
      <w:r>
        <w:t xml:space="preserve">Suggested weight pairing: Outfit Bold/SemiBold for headlines (H1 40–56px, H2 28–34px), Montserrat Regular for body copy (16px base), Montserrat SemiBold for buttons, nav labels, and price text on deliverable cards.</w:t>
      </w:r>
    </w:p>
    <w:p>
      <w:pPr>
        <w:pStyle w:val="Heading2"/>
        <w:spacing w:after="90" w:before="200"/>
      </w:pPr>
      <w:r>
        <w:t xml:space="preserve">2.4 Tier Color Mapping — Confirmed</w:t>
      </w:r>
    </w:p>
    <w:p>
      <w:pPr>
        <w:spacing w:after="130"/>
        <w:jc w:val="both"/>
      </w:pPr>
      <w:r>
        <w:t xml:space="preserve">Each deliverable tier gets a consistent badge color across the entire site, so a client can visually scan the Deliverables Menu by budget without reading every price. CTA colors (the two cyans) are deliberately excluded from this mapping to keep purchase actions visually distinct from tier identity.</w:t>
      </w:r>
    </w:p>
    <w:tbl>
      <w:tblPr>
        <w:tblW w:type="dxa" w:w="8840"/>
        <w:tblBorders>
          <w:top w:val="single" w:color="auto" w:sz="4"/>
          <w:left w:val="single" w:color="auto" w:sz="4"/>
          <w:bottom w:val="single" w:color="auto" w:sz="4"/>
          <w:right w:val="single" w:color="auto" w:sz="4"/>
          <w:insideH w:val="single" w:color="auto" w:sz="4"/>
          <w:insideV w:val="single" w:color="auto" w:sz="4"/>
        </w:tblBorders>
      </w:tblPr>
      <w:tblGrid>
        <w:gridCol w:w="1500"/>
        <w:gridCol w:w="1800"/>
        <w:gridCol w:w="2200"/>
        <w:gridCol w:w="3340"/>
      </w:tblGrid>
      <w:tr>
        <w:trPr>
          <w:tblHeader/>
        </w:trPr>
        <w:tc>
          <w:tcPr>
            <w:tcW w:type="dxa" w:w="1500"/>
            <w:shd w:fill="425206" w:val="clear"/>
            <w:tcMar>
              <w:top w:type="dxa" w:w="50"/>
              <w:left w:type="dxa" w:w="90"/>
              <w:bottom w:type="dxa" w:w="50"/>
              <w:right w:type="dxa" w:w="90"/>
            </w:tcMar>
          </w:tcPr>
          <w:p>
            <w:r>
              <w:rPr>
                <w:b/>
                <w:bCs/>
                <w:color w:val="FFFFFF"/>
                <w:sz w:val="16"/>
                <w:szCs w:val="16"/>
              </w:rPr>
              <w:t xml:space="preserve">Tier</w:t>
            </w:r>
          </w:p>
        </w:tc>
        <w:tc>
          <w:tcPr>
            <w:tcW w:type="dxa" w:w="1800"/>
            <w:shd w:fill="425206" w:val="clear"/>
            <w:tcMar>
              <w:top w:type="dxa" w:w="50"/>
              <w:left w:type="dxa" w:w="90"/>
              <w:bottom w:type="dxa" w:w="50"/>
              <w:right w:type="dxa" w:w="90"/>
            </w:tcMar>
          </w:tcPr>
          <w:p>
            <w:r>
              <w:rPr>
                <w:b/>
                <w:bCs/>
                <w:color w:val="FFFFFF"/>
                <w:sz w:val="16"/>
                <w:szCs w:val="16"/>
              </w:rPr>
              <w:t xml:space="preserve">Price Range</w:t>
            </w:r>
          </w:p>
        </w:tc>
        <w:tc>
          <w:tcPr>
            <w:tcW w:type="dxa" w:w="2200"/>
            <w:shd w:fill="425206" w:val="clear"/>
            <w:tcMar>
              <w:top w:type="dxa" w:w="50"/>
              <w:left w:type="dxa" w:w="90"/>
              <w:bottom w:type="dxa" w:w="50"/>
              <w:right w:type="dxa" w:w="90"/>
            </w:tcMar>
          </w:tcPr>
          <w:p>
            <w:r>
              <w:rPr>
                <w:b/>
                <w:bCs/>
                <w:color w:val="FFFFFF"/>
                <w:sz w:val="16"/>
                <w:szCs w:val="16"/>
              </w:rPr>
              <w:t xml:space="preserve">Badge Color</w:t>
            </w:r>
          </w:p>
        </w:tc>
        <w:tc>
          <w:tcPr>
            <w:tcW w:type="dxa" w:w="3340"/>
            <w:shd w:fill="425206" w:val="clear"/>
            <w:tcMar>
              <w:top w:type="dxa" w:w="50"/>
              <w:left w:type="dxa" w:w="90"/>
              <w:bottom w:type="dxa" w:w="50"/>
              <w:right w:type="dxa" w:w="90"/>
            </w:tcMar>
          </w:tcPr>
          <w:p>
            <w:r>
              <w:rPr>
                <w:b/>
                <w:bCs/>
                <w:color w:val="FFFFFF"/>
                <w:sz w:val="16"/>
                <w:szCs w:val="16"/>
              </w:rPr>
              <w:t xml:space="preserve">Rationale</w:t>
            </w:r>
          </w:p>
        </w:tc>
      </w:tr>
      <w:tr>
        <w:tc>
          <w:tcPr>
            <w:tcW w:type="dxa" w:w="1500"/>
            <w:tcMar>
              <w:top w:type="dxa" w:w="40"/>
              <w:left w:type="dxa" w:w="90"/>
              <w:bottom w:type="dxa" w:w="40"/>
              <w:right w:type="dxa" w:w="90"/>
            </w:tcMar>
          </w:tcPr>
          <w:p>
            <w:r>
              <w:rPr>
                <w:sz w:val="16"/>
                <w:szCs w:val="16"/>
              </w:rPr>
              <w:t xml:space="preserve">Tier 1</w:t>
            </w:r>
          </w:p>
        </w:tc>
        <w:tc>
          <w:tcPr>
            <w:tcW w:type="dxa" w:w="1800"/>
            <w:tcMar>
              <w:top w:type="dxa" w:w="40"/>
              <w:left w:type="dxa" w:w="90"/>
              <w:bottom w:type="dxa" w:w="40"/>
              <w:right w:type="dxa" w:w="90"/>
            </w:tcMar>
          </w:tcPr>
          <w:p>
            <w:r>
              <w:rPr>
                <w:sz w:val="16"/>
                <w:szCs w:val="16"/>
              </w:rPr>
              <w:t xml:space="preserve">$60–$150</w:t>
            </w:r>
          </w:p>
        </w:tc>
        <w:tc>
          <w:tcPr>
            <w:tcW w:type="dxa" w:w="2200"/>
            <w:tcMar>
              <w:top w:type="dxa" w:w="40"/>
              <w:left w:type="dxa" w:w="90"/>
              <w:bottom w:type="dxa" w:w="40"/>
              <w:right w:type="dxa" w:w="90"/>
            </w:tcMar>
          </w:tcPr>
          <w:p>
            <w:r>
              <w:rPr>
                <w:sz w:val="16"/>
                <w:szCs w:val="16"/>
              </w:rPr>
              <w:t xml:space="preserve">#978E4C (Muted Gold)</w:t>
            </w:r>
          </w:p>
        </w:tc>
        <w:tc>
          <w:tcPr>
            <w:tcW w:type="dxa" w:w="3340"/>
            <w:tcMar>
              <w:top w:type="dxa" w:w="40"/>
              <w:left w:type="dxa" w:w="90"/>
              <w:bottom w:type="dxa" w:w="40"/>
              <w:right w:type="dxa" w:w="90"/>
            </w:tcMar>
          </w:tcPr>
          <w:p>
            <w:r>
              <w:rPr>
                <w:sz w:val="16"/>
                <w:szCs w:val="16"/>
              </w:rPr>
              <w:t xml:space="preserve">Lightest-commitment tier — warm, approachable, echoes the quill tip in the logo.</w:t>
            </w:r>
          </w:p>
        </w:tc>
      </w:tr>
      <w:tr>
        <w:tc>
          <w:tcPr>
            <w:tcW w:type="dxa" w:w="1500"/>
            <w:tcMar>
              <w:top w:type="dxa" w:w="40"/>
              <w:left w:type="dxa" w:w="90"/>
              <w:bottom w:type="dxa" w:w="40"/>
              <w:right w:type="dxa" w:w="90"/>
            </w:tcMar>
          </w:tcPr>
          <w:p>
            <w:r>
              <w:rPr>
                <w:sz w:val="16"/>
                <w:szCs w:val="16"/>
              </w:rPr>
              <w:t xml:space="preserve">Tier 2</w:t>
            </w:r>
          </w:p>
        </w:tc>
        <w:tc>
          <w:tcPr>
            <w:tcW w:type="dxa" w:w="1800"/>
            <w:tcMar>
              <w:top w:type="dxa" w:w="40"/>
              <w:left w:type="dxa" w:w="90"/>
              <w:bottom w:type="dxa" w:w="40"/>
              <w:right w:type="dxa" w:w="90"/>
            </w:tcMar>
          </w:tcPr>
          <w:p>
            <w:r>
              <w:rPr>
                <w:sz w:val="16"/>
                <w:szCs w:val="16"/>
              </w:rPr>
              <w:t xml:space="preserve">$150–$500</w:t>
            </w:r>
          </w:p>
        </w:tc>
        <w:tc>
          <w:tcPr>
            <w:tcW w:type="dxa" w:w="2200"/>
            <w:tcMar>
              <w:top w:type="dxa" w:w="40"/>
              <w:left w:type="dxa" w:w="90"/>
              <w:bottom w:type="dxa" w:w="40"/>
              <w:right w:type="dxa" w:w="90"/>
            </w:tcMar>
          </w:tcPr>
          <w:p>
            <w:r>
              <w:rPr>
                <w:sz w:val="16"/>
                <w:szCs w:val="16"/>
              </w:rPr>
              <w:t xml:space="preserve">#2D7B5F (Primary Teal)</w:t>
            </w:r>
          </w:p>
        </w:tc>
        <w:tc>
          <w:tcPr>
            <w:tcW w:type="dxa" w:w="3340"/>
            <w:tcMar>
              <w:top w:type="dxa" w:w="40"/>
              <w:left w:type="dxa" w:w="90"/>
              <w:bottom w:type="dxa" w:w="40"/>
              <w:right w:type="dxa" w:w="90"/>
            </w:tcMar>
          </w:tcPr>
          <w:p>
            <w:r>
              <w:rPr>
                <w:sz w:val="16"/>
                <w:szCs w:val="16"/>
              </w:rPr>
              <w:t xml:space="preserve">The flagship/core tier — uses the main brand color since this is the most common purchase.</w:t>
            </w:r>
          </w:p>
        </w:tc>
      </w:tr>
      <w:tr>
        <w:tc>
          <w:tcPr>
            <w:tcW w:type="dxa" w:w="1500"/>
            <w:tcMar>
              <w:top w:type="dxa" w:w="40"/>
              <w:left w:type="dxa" w:w="90"/>
              <w:bottom w:type="dxa" w:w="40"/>
              <w:right w:type="dxa" w:w="90"/>
            </w:tcMar>
          </w:tcPr>
          <w:p>
            <w:r>
              <w:rPr>
                <w:sz w:val="16"/>
                <w:szCs w:val="16"/>
              </w:rPr>
              <w:t xml:space="preserve">Tier 3</w:t>
            </w:r>
          </w:p>
        </w:tc>
        <w:tc>
          <w:tcPr>
            <w:tcW w:type="dxa" w:w="1800"/>
            <w:tcMar>
              <w:top w:type="dxa" w:w="40"/>
              <w:left w:type="dxa" w:w="90"/>
              <w:bottom w:type="dxa" w:w="40"/>
              <w:right w:type="dxa" w:w="90"/>
            </w:tcMar>
          </w:tcPr>
          <w:p>
            <w:r>
              <w:rPr>
                <w:sz w:val="16"/>
                <w:szCs w:val="16"/>
              </w:rPr>
              <w:t xml:space="preserve">$500–$1,500</w:t>
            </w:r>
          </w:p>
        </w:tc>
        <w:tc>
          <w:tcPr>
            <w:tcW w:type="dxa" w:w="2200"/>
            <w:tcMar>
              <w:top w:type="dxa" w:w="40"/>
              <w:left w:type="dxa" w:w="90"/>
              <w:bottom w:type="dxa" w:w="40"/>
              <w:right w:type="dxa" w:w="90"/>
            </w:tcMar>
          </w:tcPr>
          <w:p>
            <w:r>
              <w:rPr>
                <w:sz w:val="16"/>
                <w:szCs w:val="16"/>
              </w:rPr>
              <w:t xml:space="preserve">#425206 (Deep Olive)</w:t>
            </w:r>
          </w:p>
        </w:tc>
        <w:tc>
          <w:tcPr>
            <w:tcW w:type="dxa" w:w="3340"/>
            <w:tcMar>
              <w:top w:type="dxa" w:w="40"/>
              <w:left w:type="dxa" w:w="90"/>
              <w:bottom w:type="dxa" w:w="40"/>
              <w:right w:type="dxa" w:w="90"/>
            </w:tcMar>
          </w:tcPr>
          <w:p>
            <w:r>
              <w:rPr>
                <w:sz w:val="16"/>
                <w:szCs w:val="16"/>
              </w:rPr>
              <w:t xml:space="preserve">Premium/build tier — the darkest, most substantial color signals higher commitment and scope.</w:t>
            </w:r>
          </w:p>
        </w:tc>
      </w:tr>
    </w:tbl>
    <w:p>
      <w:pPr>
        <w:pStyle w:val="Heading1"/>
        <w:spacing w:after="120" w:before="260"/>
      </w:pPr>
      <w:r>
        <w:t xml:space="preserve">3. Voice &amp; Tone</w:t>
      </w:r>
    </w:p>
    <w:p>
      <w:pPr>
        <w:spacing w:after="130"/>
        <w:jc w:val="both"/>
      </w:pPr>
      <w:r>
        <w:t xml:space="preserve">Inquew's positioning is built on a direct contrast with traditional consulting: transparent instead of opaque, modular instead of all-or-nothing, plain-spoken instead of jargon-heavy. Copy across the site should reflect that directly:</w:t>
      </w:r>
    </w:p>
    <w:p>
      <w:pPr>
        <w:pStyle w:val="ListParagraph"/>
        <w:numPr>
          <w:ilvl w:val="0"/>
          <w:numId w:val="1"/>
        </w:numPr>
        <w:spacing w:after="60"/>
      </w:pPr>
      <w:r>
        <w:t xml:space="preserve">Plain language over consulting jargon — write "a one-page map of your process" rather than "a comprehensive process optimization deliverable."</w:t>
      </w:r>
    </w:p>
    <w:p>
      <w:pPr>
        <w:pStyle w:val="ListParagraph"/>
        <w:numPr>
          <w:ilvl w:val="0"/>
          <w:numId w:val="1"/>
        </w:numPr>
        <w:spacing w:after="60"/>
      </w:pPr>
      <w:r>
        <w:t xml:space="preserve">Lead with price and clarity, not prestige — the transparent, visible price on every card is a feature, not a footnote.</w:t>
      </w:r>
    </w:p>
    <w:p>
      <w:pPr>
        <w:pStyle w:val="ListParagraph"/>
        <w:numPr>
          <w:ilvl w:val="0"/>
          <w:numId w:val="1"/>
        </w:numPr>
        <w:spacing w:after="60"/>
      </w:pPr>
      <w:r>
        <w:t xml:space="preserve">Warm but credible — friendly enough for a first-time founder with no design vocabulary, credible enough for a returning buyer comparing it to a marketplace consultant.</w:t>
      </w:r>
    </w:p>
    <w:p>
      <w:pPr>
        <w:pStyle w:val="ListParagraph"/>
        <w:numPr>
          <w:ilvl w:val="0"/>
          <w:numId w:val="1"/>
        </w:numPr>
        <w:spacing w:after="60"/>
      </w:pPr>
      <w:r>
        <w:t xml:space="preserve">Avoid AI-hype language — copy should reflect the actual product: AI assists with intake and diagnosis, a human consultant creates and reviews every deliverable. Never imply the deliverable itself is AI-generated.</w:t>
      </w:r>
    </w:p>
    <w:p>
      <w:pPr>
        <w:pStyle w:val="Heading1"/>
        <w:spacing w:after="120" w:before="260"/>
      </w:pPr>
      <w:r>
        <w:t xml:space="preserve">4. Site Map / Page Inventory</w:t>
      </w:r>
    </w:p>
    <w:tbl>
      <w:tblPr>
        <w:tblW w:type="dxa" w:w="8840"/>
        <w:tblBorders>
          <w:top w:val="single" w:color="auto" w:sz="4"/>
          <w:left w:val="single" w:color="auto" w:sz="4"/>
          <w:bottom w:val="single" w:color="auto" w:sz="4"/>
          <w:right w:val="single" w:color="auto" w:sz="4"/>
          <w:insideH w:val="single" w:color="auto" w:sz="4"/>
          <w:insideV w:val="single" w:color="auto" w:sz="4"/>
        </w:tblBorders>
      </w:tblPr>
      <w:tblGrid>
        <w:gridCol w:w="2600"/>
        <w:gridCol w:w="1600"/>
        <w:gridCol w:w="4640"/>
      </w:tblGrid>
      <w:tr>
        <w:trPr>
          <w:tblHeader/>
        </w:trPr>
        <w:tc>
          <w:tcPr>
            <w:tcW w:type="dxa" w:w="2600"/>
            <w:shd w:fill="425206" w:val="clear"/>
            <w:tcMar>
              <w:top w:type="dxa" w:w="50"/>
              <w:left w:type="dxa" w:w="90"/>
              <w:bottom w:type="dxa" w:w="50"/>
              <w:right w:type="dxa" w:w="90"/>
            </w:tcMar>
          </w:tcPr>
          <w:p>
            <w:r>
              <w:rPr>
                <w:b/>
                <w:bCs/>
                <w:color w:val="FFFFFF"/>
                <w:sz w:val="16"/>
                <w:szCs w:val="16"/>
              </w:rPr>
              <w:t xml:space="preserve">Page</w:t>
            </w:r>
          </w:p>
        </w:tc>
        <w:tc>
          <w:tcPr>
            <w:tcW w:type="dxa" w:w="1600"/>
            <w:shd w:fill="425206" w:val="clear"/>
            <w:tcMar>
              <w:top w:type="dxa" w:w="50"/>
              <w:left w:type="dxa" w:w="90"/>
              <w:bottom w:type="dxa" w:w="50"/>
              <w:right w:type="dxa" w:w="90"/>
            </w:tcMar>
          </w:tcPr>
          <w:p>
            <w:r>
              <w:rPr>
                <w:b/>
                <w:bCs/>
                <w:color w:val="FFFFFF"/>
                <w:sz w:val="16"/>
                <w:szCs w:val="16"/>
              </w:rPr>
              <w:t xml:space="preserve">Priority</w:t>
            </w:r>
          </w:p>
        </w:tc>
        <w:tc>
          <w:tcPr>
            <w:tcW w:type="dxa" w:w="4640"/>
            <w:shd w:fill="425206" w:val="clear"/>
            <w:tcMar>
              <w:top w:type="dxa" w:w="50"/>
              <w:left w:type="dxa" w:w="90"/>
              <w:bottom w:type="dxa" w:w="50"/>
              <w:right w:type="dxa" w:w="90"/>
            </w:tcMar>
          </w:tcPr>
          <w:p>
            <w:r>
              <w:rPr>
                <w:b/>
                <w:bCs/>
                <w:color w:val="FFFFFF"/>
                <w:sz w:val="16"/>
                <w:szCs w:val="16"/>
              </w:rPr>
              <w:t xml:space="preserve">Purpose</w:t>
            </w:r>
          </w:p>
        </w:tc>
      </w:tr>
      <w:tr>
        <w:tc>
          <w:tcPr>
            <w:tcW w:type="dxa" w:w="2600"/>
            <w:tcMar>
              <w:top w:type="dxa" w:w="40"/>
              <w:left w:type="dxa" w:w="90"/>
              <w:bottom w:type="dxa" w:w="40"/>
              <w:right w:type="dxa" w:w="90"/>
            </w:tcMar>
          </w:tcPr>
          <w:p>
            <w:r>
              <w:rPr>
                <w:sz w:val="16"/>
                <w:szCs w:val="16"/>
              </w:rPr>
              <w:t xml:space="preserve">Home / Landing</w:t>
            </w:r>
          </w:p>
        </w:tc>
        <w:tc>
          <w:tcPr>
            <w:tcW w:type="dxa" w:w="1600"/>
            <w:tcMar>
              <w:top w:type="dxa" w:w="40"/>
              <w:left w:type="dxa" w:w="90"/>
              <w:bottom w:type="dxa" w:w="40"/>
              <w:right w:type="dxa" w:w="90"/>
            </w:tcMar>
          </w:tcPr>
          <w:p>
            <w:r>
              <w:rPr>
                <w:sz w:val="16"/>
                <w:szCs w:val="16"/>
              </w:rPr>
              <w:t xml:space="preserve">Phase 1</w:t>
            </w:r>
          </w:p>
        </w:tc>
        <w:tc>
          <w:tcPr>
            <w:tcW w:type="dxa" w:w="4640"/>
            <w:tcMar>
              <w:top w:type="dxa" w:w="40"/>
              <w:left w:type="dxa" w:w="90"/>
              <w:bottom w:type="dxa" w:w="40"/>
              <w:right w:type="dxa" w:w="90"/>
            </w:tcMar>
          </w:tcPr>
          <w:p>
            <w:r>
              <w:rPr>
                <w:sz w:val="16"/>
                <w:szCs w:val="16"/>
              </w:rPr>
              <w:t xml:space="preserve">Hero, How It Works summary, deliverables teaser, trust signals, CTA into the video intake flow</w:t>
            </w:r>
          </w:p>
        </w:tc>
      </w:tr>
      <w:tr>
        <w:tc>
          <w:tcPr>
            <w:tcW w:type="dxa" w:w="2600"/>
            <w:tcMar>
              <w:top w:type="dxa" w:w="40"/>
              <w:left w:type="dxa" w:w="90"/>
              <w:bottom w:type="dxa" w:w="40"/>
              <w:right w:type="dxa" w:w="90"/>
            </w:tcMar>
          </w:tcPr>
          <w:p>
            <w:r>
              <w:rPr>
                <w:sz w:val="16"/>
                <w:szCs w:val="16"/>
              </w:rPr>
              <w:t xml:space="preserve">How It Works</w:t>
            </w:r>
          </w:p>
        </w:tc>
        <w:tc>
          <w:tcPr>
            <w:tcW w:type="dxa" w:w="1600"/>
            <w:tcMar>
              <w:top w:type="dxa" w:w="40"/>
              <w:left w:type="dxa" w:w="90"/>
              <w:bottom w:type="dxa" w:w="40"/>
              <w:right w:type="dxa" w:w="90"/>
            </w:tcMar>
          </w:tcPr>
          <w:p>
            <w:r>
              <w:rPr>
                <w:sz w:val="16"/>
                <w:szCs w:val="16"/>
              </w:rPr>
              <w:t xml:space="preserve">Phase 1</w:t>
            </w:r>
          </w:p>
        </w:tc>
        <w:tc>
          <w:tcPr>
            <w:tcW w:type="dxa" w:w="4640"/>
            <w:tcMar>
              <w:top w:type="dxa" w:w="40"/>
              <w:left w:type="dxa" w:w="90"/>
              <w:bottom w:type="dxa" w:w="40"/>
              <w:right w:type="dxa" w:w="90"/>
            </w:tcMar>
          </w:tcPr>
          <w:p>
            <w:r>
              <w:rPr>
                <w:sz w:val="16"/>
                <w:szCs w:val="16"/>
              </w:rPr>
              <w:t xml:space="preserve">Full 5-step process explanation (Section 6.1)</w:t>
            </w:r>
          </w:p>
        </w:tc>
      </w:tr>
      <w:tr>
        <w:tc>
          <w:tcPr>
            <w:tcW w:type="dxa" w:w="2600"/>
            <w:tcMar>
              <w:top w:type="dxa" w:w="40"/>
              <w:left w:type="dxa" w:w="90"/>
              <w:bottom w:type="dxa" w:w="40"/>
              <w:right w:type="dxa" w:w="90"/>
            </w:tcMar>
          </w:tcPr>
          <w:p>
            <w:r>
              <w:rPr>
                <w:sz w:val="16"/>
                <w:szCs w:val="16"/>
              </w:rPr>
              <w:t xml:space="preserve">Deliverables Menu (Shop)</w:t>
            </w:r>
          </w:p>
        </w:tc>
        <w:tc>
          <w:tcPr>
            <w:tcW w:type="dxa" w:w="1600"/>
            <w:tcMar>
              <w:top w:type="dxa" w:w="40"/>
              <w:left w:type="dxa" w:w="90"/>
              <w:bottom w:type="dxa" w:w="40"/>
              <w:right w:type="dxa" w:w="90"/>
            </w:tcMar>
          </w:tcPr>
          <w:p>
            <w:r>
              <w:rPr>
                <w:sz w:val="16"/>
                <w:szCs w:val="16"/>
              </w:rPr>
              <w:t xml:space="preserve">Phase 1</w:t>
            </w:r>
          </w:p>
        </w:tc>
        <w:tc>
          <w:tcPr>
            <w:tcW w:type="dxa" w:w="4640"/>
            <w:tcMar>
              <w:top w:type="dxa" w:w="40"/>
              <w:left w:type="dxa" w:w="90"/>
              <w:bottom w:type="dxa" w:w="40"/>
              <w:right w:type="dxa" w:w="90"/>
            </w:tcMar>
          </w:tcPr>
          <w:p>
            <w:r>
              <w:rPr>
                <w:sz w:val="16"/>
                <w:szCs w:val="16"/>
              </w:rPr>
              <w:t xml:space="preserve">Full a la carte catalog — the core commercial page (Section 6.2)</w:t>
            </w:r>
          </w:p>
        </w:tc>
      </w:tr>
      <w:tr>
        <w:tc>
          <w:tcPr>
            <w:tcW w:type="dxa" w:w="2600"/>
            <w:tcMar>
              <w:top w:type="dxa" w:w="40"/>
              <w:left w:type="dxa" w:w="90"/>
              <w:bottom w:type="dxa" w:w="40"/>
              <w:right w:type="dxa" w:w="90"/>
            </w:tcMar>
          </w:tcPr>
          <w:p>
            <w:r>
              <w:rPr>
                <w:sz w:val="16"/>
                <w:szCs w:val="16"/>
              </w:rPr>
              <w:t xml:space="preserve">Deliverable Detail (modal or page)</w:t>
            </w:r>
          </w:p>
        </w:tc>
        <w:tc>
          <w:tcPr>
            <w:tcW w:type="dxa" w:w="1600"/>
            <w:tcMar>
              <w:top w:type="dxa" w:w="40"/>
              <w:left w:type="dxa" w:w="90"/>
              <w:bottom w:type="dxa" w:w="40"/>
              <w:right w:type="dxa" w:w="90"/>
            </w:tcMar>
          </w:tcPr>
          <w:p>
            <w:r>
              <w:rPr>
                <w:sz w:val="16"/>
                <w:szCs w:val="16"/>
              </w:rPr>
              <w:t xml:space="preserve">Phase 1</w:t>
            </w:r>
          </w:p>
        </w:tc>
        <w:tc>
          <w:tcPr>
            <w:tcW w:type="dxa" w:w="4640"/>
            <w:tcMar>
              <w:top w:type="dxa" w:w="40"/>
              <w:left w:type="dxa" w:w="90"/>
              <w:bottom w:type="dxa" w:w="40"/>
              <w:right w:type="dxa" w:w="90"/>
            </w:tcMar>
          </w:tcPr>
          <w:p>
            <w:r>
              <w:rPr>
                <w:sz w:val="16"/>
                <w:szCs w:val="16"/>
              </w:rPr>
              <w:t xml:space="preserve">Expanded description, add-ons, purchase action (Section 6.3)</w:t>
            </w:r>
          </w:p>
        </w:tc>
      </w:tr>
      <w:tr>
        <w:tc>
          <w:tcPr>
            <w:tcW w:type="dxa" w:w="2600"/>
            <w:tcMar>
              <w:top w:type="dxa" w:w="40"/>
              <w:left w:type="dxa" w:w="90"/>
              <w:bottom w:type="dxa" w:w="40"/>
              <w:right w:type="dxa" w:w="90"/>
            </w:tcMar>
          </w:tcPr>
          <w:p>
            <w:r>
              <w:rPr>
                <w:sz w:val="16"/>
                <w:szCs w:val="16"/>
              </w:rPr>
              <w:t xml:space="preserve">Team / About</w:t>
            </w:r>
          </w:p>
        </w:tc>
        <w:tc>
          <w:tcPr>
            <w:tcW w:type="dxa" w:w="1600"/>
            <w:tcMar>
              <w:top w:type="dxa" w:w="40"/>
              <w:left w:type="dxa" w:w="90"/>
              <w:bottom w:type="dxa" w:w="40"/>
              <w:right w:type="dxa" w:w="90"/>
            </w:tcMar>
          </w:tcPr>
          <w:p>
            <w:r>
              <w:rPr>
                <w:sz w:val="16"/>
                <w:szCs w:val="16"/>
              </w:rPr>
              <w:t xml:space="preserve">Phase 1</w:t>
            </w:r>
          </w:p>
        </w:tc>
        <w:tc>
          <w:tcPr>
            <w:tcW w:type="dxa" w:w="4640"/>
            <w:tcMar>
              <w:top w:type="dxa" w:w="40"/>
              <w:left w:type="dxa" w:w="90"/>
              <w:bottom w:type="dxa" w:w="40"/>
              <w:right w:type="dxa" w:w="90"/>
            </w:tcMar>
          </w:tcPr>
          <w:p>
            <w:r>
              <w:rPr>
                <w:sz w:val="16"/>
                <w:szCs w:val="16"/>
              </w:rPr>
              <w:t xml:space="preserve">Founder bio, company story (Section 6.4)</w:t>
            </w:r>
          </w:p>
        </w:tc>
      </w:tr>
      <w:tr>
        <w:tc>
          <w:tcPr>
            <w:tcW w:type="dxa" w:w="2600"/>
            <w:tcMar>
              <w:top w:type="dxa" w:w="40"/>
              <w:left w:type="dxa" w:w="90"/>
              <w:bottom w:type="dxa" w:w="40"/>
              <w:right w:type="dxa" w:w="90"/>
            </w:tcMar>
          </w:tcPr>
          <w:p>
            <w:r>
              <w:rPr>
                <w:sz w:val="16"/>
                <w:szCs w:val="16"/>
              </w:rPr>
              <w:t xml:space="preserve">Video Intake Flow</w:t>
            </w:r>
          </w:p>
        </w:tc>
        <w:tc>
          <w:tcPr>
            <w:tcW w:type="dxa" w:w="1600"/>
            <w:tcMar>
              <w:top w:type="dxa" w:w="40"/>
              <w:left w:type="dxa" w:w="90"/>
              <w:bottom w:type="dxa" w:w="40"/>
              <w:right w:type="dxa" w:w="90"/>
            </w:tcMar>
          </w:tcPr>
          <w:p>
            <w:r>
              <w:rPr>
                <w:sz w:val="16"/>
                <w:szCs w:val="16"/>
              </w:rPr>
              <w:t xml:space="preserve">Phase 1</w:t>
            </w:r>
          </w:p>
        </w:tc>
        <w:tc>
          <w:tcPr>
            <w:tcW w:type="dxa" w:w="4640"/>
            <w:tcMar>
              <w:top w:type="dxa" w:w="40"/>
              <w:left w:type="dxa" w:w="90"/>
              <w:bottom w:type="dxa" w:w="40"/>
              <w:right w:type="dxa" w:w="90"/>
            </w:tcMar>
          </w:tcPr>
          <w:p>
            <w:r>
              <w:rPr>
                <w:sz w:val="16"/>
                <w:szCs w:val="16"/>
              </w:rPr>
              <w:t xml:space="preserve">Consent notice, video upload, 3 AI problem statements, deliverable recommendation (maps to the Decision Tree asset)</w:t>
            </w:r>
          </w:p>
        </w:tc>
      </w:tr>
      <w:tr>
        <w:tc>
          <w:tcPr>
            <w:tcW w:type="dxa" w:w="2600"/>
            <w:tcMar>
              <w:top w:type="dxa" w:w="40"/>
              <w:left w:type="dxa" w:w="90"/>
              <w:bottom w:type="dxa" w:w="40"/>
              <w:right w:type="dxa" w:w="90"/>
            </w:tcMar>
          </w:tcPr>
          <w:p>
            <w:r>
              <w:rPr>
                <w:sz w:val="16"/>
                <w:szCs w:val="16"/>
              </w:rPr>
              <w:t xml:space="preserve">Cart / Checkout</w:t>
            </w:r>
          </w:p>
        </w:tc>
        <w:tc>
          <w:tcPr>
            <w:tcW w:type="dxa" w:w="1600"/>
            <w:tcMar>
              <w:top w:type="dxa" w:w="40"/>
              <w:left w:type="dxa" w:w="90"/>
              <w:bottom w:type="dxa" w:w="40"/>
              <w:right w:type="dxa" w:w="90"/>
            </w:tcMar>
          </w:tcPr>
          <w:p>
            <w:r>
              <w:rPr>
                <w:sz w:val="16"/>
                <w:szCs w:val="16"/>
              </w:rPr>
              <w:t xml:space="preserve">Phase 1</w:t>
            </w:r>
          </w:p>
        </w:tc>
        <w:tc>
          <w:tcPr>
            <w:tcW w:type="dxa" w:w="4640"/>
            <w:tcMar>
              <w:top w:type="dxa" w:w="40"/>
              <w:left w:type="dxa" w:w="90"/>
              <w:bottom w:type="dxa" w:w="40"/>
              <w:right w:type="dxa" w:w="90"/>
            </w:tcMar>
          </w:tcPr>
          <w:p>
            <w:r>
              <w:rPr>
                <w:sz w:val="16"/>
                <w:szCs w:val="16"/>
              </w:rPr>
              <w:t xml:space="preserve">Selected deliverables + add-ons, delivery method choice (dashboard vs. email), payment</w:t>
            </w:r>
          </w:p>
        </w:tc>
      </w:tr>
      <w:tr>
        <w:tc>
          <w:tcPr>
            <w:tcW w:type="dxa" w:w="2600"/>
            <w:tcMar>
              <w:top w:type="dxa" w:w="40"/>
              <w:left w:type="dxa" w:w="90"/>
              <w:bottom w:type="dxa" w:w="40"/>
              <w:right w:type="dxa" w:w="90"/>
            </w:tcMar>
          </w:tcPr>
          <w:p>
            <w:r>
              <w:rPr>
                <w:sz w:val="16"/>
                <w:szCs w:val="16"/>
              </w:rPr>
              <w:t xml:space="preserve">Client Dashboard</w:t>
            </w:r>
          </w:p>
        </w:tc>
        <w:tc>
          <w:tcPr>
            <w:tcW w:type="dxa" w:w="1600"/>
            <w:tcMar>
              <w:top w:type="dxa" w:w="40"/>
              <w:left w:type="dxa" w:w="90"/>
              <w:bottom w:type="dxa" w:w="40"/>
              <w:right w:type="dxa" w:w="90"/>
            </w:tcMar>
          </w:tcPr>
          <w:p>
            <w:r>
              <w:rPr>
                <w:sz w:val="16"/>
                <w:szCs w:val="16"/>
              </w:rPr>
              <w:t xml:space="preserve">Phase 2</w:t>
            </w:r>
          </w:p>
        </w:tc>
        <w:tc>
          <w:tcPr>
            <w:tcW w:type="dxa" w:w="4640"/>
            <w:tcMar>
              <w:top w:type="dxa" w:w="40"/>
              <w:left w:type="dxa" w:w="90"/>
              <w:bottom w:type="dxa" w:w="40"/>
              <w:right w:type="dxa" w:w="90"/>
            </w:tcMar>
          </w:tcPr>
          <w:p>
            <w:r>
              <w:rPr>
                <w:sz w:val="16"/>
                <w:szCs w:val="16"/>
              </w:rPr>
              <w:t xml:space="preserve">Logged-in view of past/active deliverables, order status, downloads — lower priority for initial mockup, informed by the fintech/LMS references in Section 7</w:t>
            </w:r>
          </w:p>
        </w:tc>
      </w:tr>
      <w:tr>
        <w:tc>
          <w:tcPr>
            <w:tcW w:type="dxa" w:w="2600"/>
            <w:tcMar>
              <w:top w:type="dxa" w:w="40"/>
              <w:left w:type="dxa" w:w="90"/>
              <w:bottom w:type="dxa" w:w="40"/>
              <w:right w:type="dxa" w:w="90"/>
            </w:tcMar>
          </w:tcPr>
          <w:p>
            <w:r>
              <w:rPr>
                <w:sz w:val="16"/>
                <w:szCs w:val="16"/>
              </w:rPr>
              <w:t xml:space="preserve">Footer (site-wide)</w:t>
            </w:r>
          </w:p>
        </w:tc>
        <w:tc>
          <w:tcPr>
            <w:tcW w:type="dxa" w:w="1600"/>
            <w:tcMar>
              <w:top w:type="dxa" w:w="40"/>
              <w:left w:type="dxa" w:w="90"/>
              <w:bottom w:type="dxa" w:w="40"/>
              <w:right w:type="dxa" w:w="90"/>
            </w:tcMar>
          </w:tcPr>
          <w:p>
            <w:r>
              <w:rPr>
                <w:sz w:val="16"/>
                <w:szCs w:val="16"/>
              </w:rPr>
              <w:t xml:space="preserve">Phase 1</w:t>
            </w:r>
          </w:p>
        </w:tc>
        <w:tc>
          <w:tcPr>
            <w:tcW w:type="dxa" w:w="4640"/>
            <w:tcMar>
              <w:top w:type="dxa" w:w="40"/>
              <w:left w:type="dxa" w:w="90"/>
              <w:bottom w:type="dxa" w:w="40"/>
              <w:right w:type="dxa" w:w="90"/>
            </w:tcMar>
          </w:tcPr>
          <w:p>
            <w:r>
              <w:rPr>
                <w:sz w:val="16"/>
                <w:szCs w:val="16"/>
              </w:rPr>
              <w:t xml:space="preserve">Nav links, contact, legal, logo reversed-on-dark treatment</w:t>
            </w:r>
          </w:p>
        </w:tc>
      </w:tr>
    </w:tbl>
    <w:p>
      <w:pPr>
        <w:spacing w:after="140"/>
      </w:pPr>
      <w:r>
        <w:rPr>
          <w:i/>
          <w:iCs/>
          <w:color w:val="6B7280"/>
          <w:sz w:val="17"/>
          <w:szCs w:val="17"/>
        </w:rPr>
        <w:t xml:space="preserve">"Phase 1" items are what Claude Design should mock up now. The Client Dashboard is flagged Phase 2 so design effort concentrates on the pages a first-time visitor actually needs.</w:t>
      </w:r>
    </w:p>
    <w:p>
      <w:pPr>
        <w:pStyle w:val="Heading1"/>
        <w:spacing w:after="120" w:before="260"/>
      </w:pPr>
      <w:r>
        <w:t xml:space="preserve">5. Hero Section</w:t>
      </w:r>
    </w:p>
    <w:p>
      <w:pPr>
        <w:spacing w:after="130"/>
        <w:jc w:val="both"/>
      </w:pPr>
      <w:r>
        <w:t xml:space="preserve">Exact headline copy (do not paraphrase):</w:t>
      </w:r>
    </w:p>
    <w:p>
      <w:pPr>
        <w:pBdr>
          <w:left w:val="single" w:color="2D7B5F" w:sz="18" w:space="12"/>
        </w:pBdr>
        <w:spacing w:after="140" w:before="70"/>
        <w:ind w:left="431" w:right="431"/>
      </w:pPr>
      <w:r>
        <w:rPr>
          <w:b/>
          <w:bCs/>
          <w:i/>
          <w:iCs/>
          <w:color w:val="2D7B5F"/>
          <w:sz w:val="24"/>
          <w:szCs w:val="24"/>
        </w:rPr>
        <w:t xml:space="preserve">“A transparent consulting platform that lets businesses of any size pick and choose their consulting deliverables for an affordable price.”</w:t>
      </w:r>
    </w:p>
    <w:p>
      <w:pPr>
        <w:spacing w:after="130"/>
        <w:jc w:val="both"/>
      </w:pPr>
      <w:r>
        <w:t xml:space="preserve">Set in Outfit, large display size (48–56px desktop). Suggested supporting elements for Claude Design to lay out (not fixed copy): a one-line subhead reinforcing the $60–$1,500 transparent-pricing angle, a primary CTA button in Bright Cyan ("Start with a free video intake" or similar), and a visual anchor — either a teaser of the deliverables shop grid below the fold, or a simple icon-based version of the 5-step workflow in Section 6.1.</w:t>
      </w:r>
    </w:p>
    <w:p>
      <w:pPr>
        <w:pStyle w:val="Heading1"/>
        <w:spacing w:after="120" w:before="260"/>
      </w:pPr>
      <w:r>
        <w:t xml:space="preserve">6. Page-by-Page Requirements</w:t>
      </w:r>
    </w:p>
    <w:p>
      <w:pPr>
        <w:pStyle w:val="Heading2"/>
        <w:spacing w:after="90" w:before="200"/>
      </w:pPr>
      <w:r>
        <w:t xml:space="preserve">6.1 How It Works</w:t>
      </w:r>
    </w:p>
    <w:p>
      <w:pPr>
        <w:spacing w:after="130"/>
        <w:jc w:val="both"/>
      </w:pPr>
      <w:r>
        <w:t xml:space="preserve">The underlying process was mapped in full detail as an internal decision tree and Mermaid.js flowchart (both provided as reference assets — see Section 9). That flowchart includes internal operational branches — edit-credit logic, escalation/refund paths, tiered review routing — appropriate for internal documentation but too dense for a marketing page. For the public-facing How It Works section, simplify to a clean 5-step flow:</w:t>
      </w:r>
    </w:p>
    <w:p>
      <w:pPr>
        <w:pStyle w:val="ListParagraph"/>
        <w:numPr>
          <w:ilvl w:val="0"/>
          <w:numId w:val="1"/>
        </w:numPr>
        <w:spacing w:after="60"/>
      </w:pPr>
      <w:r>
        <w:t xml:space="preserve">1. Submit a 2-minute video describing your business problem</w:t>
      </w:r>
    </w:p>
    <w:p>
      <w:pPr>
        <w:pStyle w:val="ListParagraph"/>
        <w:numPr>
          <w:ilvl w:val="0"/>
          <w:numId w:val="1"/>
        </w:numPr>
        <w:spacing w:after="60"/>
      </w:pPr>
      <w:r>
        <w:t xml:space="preserve">2. Get 3 AI-generated problem statement options instantly</w:t>
      </w:r>
    </w:p>
    <w:p>
      <w:pPr>
        <w:pStyle w:val="ListParagraph"/>
        <w:numPr>
          <w:ilvl w:val="0"/>
          <w:numId w:val="1"/>
        </w:numPr>
        <w:spacing w:after="60"/>
      </w:pPr>
      <w:r>
        <w:t xml:space="preserve">3. Browse the deliverables menu and choose what you need</w:t>
      </w:r>
    </w:p>
    <w:p>
      <w:pPr>
        <w:pStyle w:val="ListParagraph"/>
        <w:numPr>
          <w:ilvl w:val="0"/>
          <w:numId w:val="1"/>
        </w:numPr>
        <w:spacing w:after="60"/>
      </w:pPr>
      <w:r>
        <w:t xml:space="preserve">4. A human consultant creates and reviews your deliverable (AI-assisted, never AI-authored)</w:t>
      </w:r>
    </w:p>
    <w:p>
      <w:pPr>
        <w:pStyle w:val="ListParagraph"/>
        <w:numPr>
          <w:ilvl w:val="0"/>
          <w:numId w:val="1"/>
        </w:numPr>
        <w:spacing w:after="60"/>
      </w:pPr>
      <w:r>
        <w:t xml:space="preserve">5. Receive your deliverable through your dashboard, or by secure email link</w:t>
      </w:r>
    </w:p>
    <w:p>
      <w:pPr>
        <w:spacing w:after="130"/>
        <w:jc w:val="both"/>
      </w:pPr>
      <w:r>
        <w:t xml:space="preserve">Style direction: icon-and-number step pattern, similar to the clean process breakdowns in the fintech and grocery references in Section 7 — simple numbered circles or icons with a short label under each, not a technical flowchart with decision diamonds.</w:t>
      </w:r>
    </w:p>
    <w:p>
      <w:pPr>
        <w:pStyle w:val="Heading2"/>
        <w:spacing w:after="90" w:before="200"/>
      </w:pPr>
      <w:r>
        <w:t xml:space="preserve">6.2 Deliverables Menu (Shop Page)</w:t>
      </w:r>
    </w:p>
    <w:p>
      <w:pPr>
        <w:spacing w:after="130"/>
        <w:jc w:val="both"/>
      </w:pPr>
      <w:r>
        <w:t xml:space="preserve">This is the core commercial page and should read as a hybrid between a product shop and a consulting menu. The full catalog (21 items) is provided in the companion Deliverables_Menu_Design_Ready.xlsx workbook — see Section 8 for how that file is organized.</w:t>
      </w:r>
    </w:p>
    <w:p>
      <w:pPr>
        <w:spacing w:after="70" w:before="140"/>
      </w:pPr>
      <w:r>
        <w:rPr>
          <w:b/>
          <w:bCs/>
          <w:color w:val="2D7B5F"/>
          <w:sz w:val="20"/>
          <w:szCs w:val="20"/>
        </w:rPr>
        <w:t xml:space="preserve">Card anatomy (each deliverable):</w:t>
      </w:r>
    </w:p>
    <w:p>
      <w:pPr>
        <w:pStyle w:val="ListParagraph"/>
        <w:numPr>
          <w:ilvl w:val="0"/>
          <w:numId w:val="1"/>
        </w:numPr>
        <w:spacing w:after="60"/>
      </w:pPr>
      <w:r>
        <w:t xml:space="preserve">Placeholder product image (see the workbook's "Suggested Image Keyword" column per item for what each placeholder should depict)</w:t>
      </w:r>
    </w:p>
    <w:p>
      <w:pPr>
        <w:pStyle w:val="ListParagraph"/>
        <w:numPr>
          <w:ilvl w:val="0"/>
          <w:numId w:val="1"/>
        </w:numPr>
        <w:spacing w:after="60"/>
      </w:pPr>
      <w:r>
        <w:t xml:space="preserve">Tier badge, color-coded per Section 2.4</w:t>
      </w:r>
    </w:p>
    <w:p>
      <w:pPr>
        <w:pStyle w:val="ListParagraph"/>
        <w:numPr>
          <w:ilvl w:val="0"/>
          <w:numId w:val="1"/>
        </w:numPr>
        <w:spacing w:after="60"/>
      </w:pPr>
      <w:r>
        <w:t xml:space="preserve">Card title</w:t>
      </w:r>
    </w:p>
    <w:p>
      <w:pPr>
        <w:pStyle w:val="ListParagraph"/>
        <w:numPr>
          <w:ilvl w:val="0"/>
          <w:numId w:val="1"/>
        </w:numPr>
        <w:spacing w:after="60"/>
      </w:pPr>
      <w:r>
        <w:t xml:space="preserve">Short teaser line (one sentence, provided per item in the workbook — this is card-grid copy, distinct from the longer detail-view description)</w:t>
      </w:r>
    </w:p>
    <w:p>
      <w:pPr>
        <w:pStyle w:val="ListParagraph"/>
        <w:numPr>
          <w:ilvl w:val="0"/>
          <w:numId w:val="1"/>
        </w:numPr>
        <w:spacing w:after="60"/>
      </w:pPr>
      <w:r>
        <w:t xml:space="preserve">Price, prominently displayed</w:t>
      </w:r>
    </w:p>
    <w:p>
      <w:pPr>
        <w:pStyle w:val="ListParagraph"/>
        <w:numPr>
          <w:ilvl w:val="0"/>
          <w:numId w:val="1"/>
        </w:numPr>
        <w:spacing w:after="60"/>
      </w:pPr>
      <w:r>
        <w:t xml:space="preserve">Category tag (e.g., "Diagnosis &amp; Mapping," "Build," "Change Management")</w:t>
      </w:r>
    </w:p>
    <w:p>
      <w:pPr>
        <w:spacing w:after="70" w:before="140"/>
      </w:pPr>
      <w:r>
        <w:rPr>
          <w:b/>
          <w:bCs/>
          <w:color w:val="2D7B5F"/>
          <w:sz w:val="20"/>
          <w:szCs w:val="20"/>
        </w:rPr>
        <w:t xml:space="preserve">Add-on pattern:</w:t>
      </w:r>
    </w:p>
    <w:p>
      <w:pPr>
        <w:spacing w:after="130"/>
        <w:jc w:val="both"/>
      </w:pPr>
      <w:r>
        <w:t xml:space="preserve">Each deliverable card or detail view should support optional add-on checkboxes for an upcharge — at minimum “Add a video presentation walkthrough (+$)” and “Add a 30-minute Zoom consultation (+$),” styled as selectable squares/checkboxes with the upcharge amount shown inline, consistent with the quantity-selector and add-on patterns in the grocery-app references in Section 7.</w:t>
      </w:r>
    </w:p>
    <w:p>
      <w:pPr>
        <w:spacing w:after="100"/>
      </w:pPr>
      <w:r>
        <w:rPr>
          <w:b/>
          <w:bCs/>
          <w:color w:val="0F6E56"/>
        </w:rPr>
        <w:t xml:space="preserve">Confirmed: </w:t>
      </w:r>
      <w:r>
        <w:rPr>
          <w:color w:val="04342C"/>
        </w:rPr>
        <w:t xml:space="preserve">The bundled-video naming conflict flagged in the prior draft is now resolved in the data: the workbook's Video Add-On column marks each item as either “Available (+upcharge)” or “Included in base price.” Three items (Ishikawa Diagram, Project Management Plan, Training/Implementation Plan) already include video in their base price — do not show the video add-on toggle on those three cards. Every other applicable item should show it as a normal optional add-on.</w:t>
      </w:r>
    </w:p>
    <w:p>
      <w:pPr>
        <w:spacing w:after="100"/>
      </w:pPr>
      <w:r>
        <w:rPr>
          <w:b/>
          <w:bCs/>
          <w:color w:val="B45309"/>
        </w:rPr>
        <w:t xml:space="preserve">Open question: </w:t>
      </w:r>
      <w:r>
        <w:rPr>
          <w:color w:val="7C2D12"/>
        </w:rPr>
        <w:t xml:space="preserve">Add-on upcharge amounts (video presentation, Zoom call) are not yet finalized — use a placeholder “+$__” in the mockup until final pricing is confirmed.</w:t>
      </w:r>
    </w:p>
    <w:p>
      <w:pPr>
        <w:spacing w:after="70" w:before="140"/>
      </w:pPr>
      <w:r>
        <w:rPr>
          <w:b/>
          <w:bCs/>
          <w:color w:val="2D7B5F"/>
          <w:sz w:val="20"/>
          <w:szCs w:val="20"/>
        </w:rPr>
        <w:t xml:space="preserve">Filtering:</w:t>
      </w:r>
    </w:p>
    <w:p>
      <w:pPr>
        <w:pStyle w:val="ListParagraph"/>
        <w:numPr>
          <w:ilvl w:val="0"/>
          <w:numId w:val="1"/>
        </w:numPr>
        <w:spacing w:after="60"/>
      </w:pPr>
      <w:r>
        <w:t xml:space="preserve">Filter/sort controls by tier, category, and price, similar to the category filter row in the grocery-app references in Section 7.</w:t>
      </w:r>
    </w:p>
    <w:p>
      <w:pPr>
        <w:pStyle w:val="Heading2"/>
        <w:spacing w:after="90" w:before="200"/>
      </w:pPr>
      <w:r>
        <w:t xml:space="preserve">6.3 Deliverable Detail View</w:t>
      </w:r>
    </w:p>
    <w:p>
      <w:pPr>
        <w:spacing w:after="130"/>
        <w:jc w:val="both"/>
      </w:pPr>
      <w:r>
        <w:t xml:space="preserve">Whether implemented as a modal or a dedicated page, the detail view expands on the card with: the full description (provided per item in the workbook's “Full Descriptions” tab), the same tier badge and price, both add-on checkboxes where applicable, and a clear purchase action. This is also the natural place to disclose delivery-method choice (platform dashboard vs. direct email) if that isn't handled globally at checkout.</w:t>
      </w:r>
    </w:p>
    <w:p>
      <w:pPr>
        <w:pStyle w:val="Heading2"/>
        <w:spacing w:after="90" w:before="200"/>
      </w:pPr>
      <w:r>
        <w:t xml:space="preserve">6.4 Team Page</w:t>
      </w:r>
    </w:p>
    <w:p>
      <w:pPr>
        <w:spacing w:after="130"/>
        <w:jc w:val="both"/>
      </w:pPr>
      <w:r>
        <w:t xml:space="preserve">Founder photo (provided) should be presented in a simple, professional card or full-width bio layout consistent with the site's warm/editorial tone rather than a corporate headshot grid. Caption directly beneath the photo, exactly as specified:</w:t>
      </w:r>
    </w:p>
    <w:p>
      <w:pPr>
        <w:spacing w:after="140" w:before="50"/>
      </w:pPr>
      <w:r>
        <w:rPr>
          <w:b/>
          <w:bCs/>
          <w:color w:val="425206"/>
          <w:sz w:val="22"/>
          <w:szCs w:val="22"/>
        </w:rPr>
        <w:t xml:space="preserve">Kenny Isibor — CEO and Founder of Inquew</w:t>
      </w:r>
    </w:p>
    <w:p>
      <w:pPr>
        <w:pStyle w:val="Heading2"/>
        <w:spacing w:after="90" w:before="200"/>
      </w:pPr>
      <w:r>
        <w:t xml:space="preserve">6.5 Footer</w:t>
      </w:r>
    </w:p>
    <w:p>
      <w:pPr>
        <w:spacing w:after="130"/>
        <w:jc w:val="both"/>
      </w:pPr>
      <w:r>
        <w:t xml:space="preserve">Site-wide footer on the Deep Olive (#425206) or Primary Teal (#2D7B5F) background, using the reversed/white logo lockup per Section 2.1. Standard nav links (How It Works, Deliverables, Team, Contact), plus a line reflecting the platform's privacy posture (e.g., “Your video is transcribed to text only — we never store facial or voice biometric data”), consistent with the Data Privacy &amp; Professional Liability Addendum.</w:t>
      </w:r>
    </w:p>
    <w:p>
      <w:pPr>
        <w:pStyle w:val="Heading1"/>
        <w:spacing w:after="120" w:before="260"/>
      </w:pPr>
      <w:r>
        <w:t xml:space="preserve">7. UI/UX Inspiration &amp; Style Direction</w:t>
      </w:r>
    </w:p>
    <w:p>
      <w:pPr>
        <w:spacing w:after="130"/>
        <w:jc w:val="both"/>
      </w:pPr>
      <w:r>
        <w:t xml:space="preserve">Three references were provided as visual direction (screenshots attached as companion assets):</w:t>
      </w:r>
    </w:p>
    <w:p>
      <w:pPr>
        <w:pStyle w:val="ListParagraph"/>
        <w:numPr>
          <w:ilvl w:val="0"/>
          <w:numId w:val="1"/>
        </w:numPr>
        <w:spacing w:after="60"/>
      </w:pPr>
      <w:r>
        <w:t xml:space="preserve">Fintech dashboard reference (Finku-style) — borrow the clean card-based layout, generous white space, soft rounded corners, and restrained use of color-blocked stat cards. This is the closest reference for the future Client Dashboard (Phase 2), not the public shop page.</w:t>
      </w:r>
    </w:p>
    <w:p>
      <w:pPr>
        <w:pStyle w:val="ListParagraph"/>
        <w:numPr>
          <w:ilvl w:val="0"/>
          <w:numId w:val="1"/>
        </w:numPr>
        <w:spacing w:after="60"/>
      </w:pPr>
      <w:r>
        <w:t xml:space="preserve">Grocery delivery app references (2 sets) — borrow the product-card grid pattern directly for the Deliverables Menu: image + name + price + quantity/add-on selector, category filter row, and the bold color-blocked promo banner treatment for the hero or seasonal-offer sections. The dark teal/red header-band-over-cream-cards contrast in these references is a good model for how Inquew's teal + porcelain palette can carry a similar shopping feel.</w:t>
      </w:r>
    </w:p>
    <w:p>
      <w:pPr>
        <w:pStyle w:val="ListParagraph"/>
        <w:numPr>
          <w:ilvl w:val="0"/>
          <w:numId w:val="1"/>
        </w:numPr>
        <w:spacing w:after="60"/>
      </w:pPr>
      <w:r>
        <w:t xml:space="preserve">A dashboard/LMS-style reference with a dark sidebar and card-grid content area — useful specifically for the future logged-in Client Dashboard (where a client would view past deliverables, track order status, and access their account), less relevant to the public marketing pages.</w:t>
      </w:r>
    </w:p>
    <w:p>
      <w:pPr>
        <w:spacing w:after="130"/>
        <w:jc w:val="both"/>
      </w:pPr>
      <w:r>
        <w:t xml:space="preserve">Overall tone: keep the vintage warmth of the feather logo and porcelain background on marketing/content pages (Hero, How It Works, Team), and let the Deliverables Menu page borrow more directly from the e-commerce/shop energy of the grocery references, tied together by the consistent teal/gold/olive/cyan palette.</w:t>
      </w:r>
    </w:p>
    <w:p>
      <w:pPr>
        <w:pStyle w:val="Heading1"/>
        <w:spacing w:after="120" w:before="260"/>
      </w:pPr>
      <w:r>
        <w:t xml:space="preserve">8. Deliverables Menu Data</w:t>
      </w:r>
    </w:p>
    <w:p>
      <w:pPr>
        <w:spacing w:after="130"/>
        <w:jc w:val="both"/>
      </w:pPr>
      <w:r>
        <w:t xml:space="preserve">The full a la carte catalog is provided as Deliverables_Menu_Design_Ready.xlsx, restructured specifically for design handoff (see Section 9). It contains four tabs:</w:t>
      </w:r>
    </w:p>
    <w:p>
      <w:pPr>
        <w:pStyle w:val="ListParagraph"/>
        <w:numPr>
          <w:ilvl w:val="0"/>
          <w:numId w:val="1"/>
        </w:numPr>
        <w:spacing w:after="60"/>
      </w:pPr>
      <w:r>
        <w:t xml:space="preserve">Design Handoff — the lean, card-ready view: tier, title, price, teaser line, category tag, suggested image keyword, and add-on availability per item. Organized in tier-colored sections matching Section 2.4. This is the primary reference for building the Deliverables Menu page.</w:t>
      </w:r>
    </w:p>
    <w:p>
      <w:pPr>
        <w:pStyle w:val="ListParagraph"/>
        <w:numPr>
          <w:ilvl w:val="0"/>
          <w:numId w:val="1"/>
        </w:numPr>
        <w:spacing w:after="60"/>
      </w:pPr>
      <w:r>
        <w:t xml:space="preserve">Full Descriptions — longer copy per item for the Deliverable Detail view (Section 6.3).</w:t>
      </w:r>
    </w:p>
    <w:p>
      <w:pPr>
        <w:pStyle w:val="ListParagraph"/>
        <w:numPr>
          <w:ilvl w:val="0"/>
          <w:numId w:val="1"/>
        </w:numPr>
        <w:spacing w:after="60"/>
      </w:pPr>
      <w:r>
        <w:t xml:space="preserve">Tier &amp; Color Reference — the same tier-to-color mapping as Section 2.4, plus the add-on pricing placeholder note.</w:t>
      </w:r>
    </w:p>
    <w:p>
      <w:pPr>
        <w:pStyle w:val="ListParagraph"/>
        <w:numPr>
          <w:ilvl w:val="0"/>
          <w:numId w:val="1"/>
        </w:numPr>
        <w:spacing w:after="60"/>
      </w:pPr>
      <w:r>
        <w:t xml:space="preserve">Source Notes — research provenance per item, for internal reference only, not customer-facing.</w:t>
      </w:r>
    </w:p>
    <w:p>
      <w:pPr>
        <w:pStyle w:val="Heading1"/>
        <w:spacing w:after="120" w:before="260"/>
      </w:pPr>
      <w:r>
        <w:t xml:space="preserve">9. Assets Provided</w:t>
      </w:r>
    </w:p>
    <w:tbl>
      <w:tblPr>
        <w:tblW w:type="dxa" w:w="8240"/>
        <w:tblBorders>
          <w:top w:val="single" w:color="auto" w:sz="4"/>
          <w:left w:val="single" w:color="auto" w:sz="4"/>
          <w:bottom w:val="single" w:color="auto" w:sz="4"/>
          <w:right w:val="single" w:color="auto" w:sz="4"/>
          <w:insideH w:val="single" w:color="auto" w:sz="4"/>
          <w:insideV w:val="single" w:color="auto" w:sz="4"/>
        </w:tblBorders>
      </w:tblPr>
      <w:tblGrid>
        <w:gridCol w:w="1800"/>
        <w:gridCol w:w="2900"/>
        <w:gridCol w:w="3540"/>
      </w:tblGrid>
      <w:tr>
        <w:trPr>
          <w:tblHeader/>
        </w:trPr>
        <w:tc>
          <w:tcPr>
            <w:tcW w:type="dxa" w:w="1800"/>
            <w:shd w:fill="425206" w:val="clear"/>
            <w:tcMar>
              <w:top w:type="dxa" w:w="50"/>
              <w:left w:type="dxa" w:w="90"/>
              <w:bottom w:type="dxa" w:w="50"/>
              <w:right w:type="dxa" w:w="90"/>
            </w:tcMar>
          </w:tcPr>
          <w:p>
            <w:r>
              <w:rPr>
                <w:b/>
                <w:bCs/>
                <w:color w:val="FFFFFF"/>
                <w:sz w:val="16"/>
                <w:szCs w:val="16"/>
              </w:rPr>
              <w:t xml:space="preserve">Asset</w:t>
            </w:r>
          </w:p>
        </w:tc>
        <w:tc>
          <w:tcPr>
            <w:tcW w:type="dxa" w:w="2900"/>
            <w:shd w:fill="425206" w:val="clear"/>
            <w:tcMar>
              <w:top w:type="dxa" w:w="50"/>
              <w:left w:type="dxa" w:w="90"/>
              <w:bottom w:type="dxa" w:w="50"/>
              <w:right w:type="dxa" w:w="90"/>
            </w:tcMar>
          </w:tcPr>
          <w:p>
            <w:r>
              <w:rPr>
                <w:b/>
                <w:bCs/>
                <w:color w:val="FFFFFF"/>
                <w:sz w:val="16"/>
                <w:szCs w:val="16"/>
              </w:rPr>
              <w:t xml:space="preserve">File</w:t>
            </w:r>
          </w:p>
        </w:tc>
        <w:tc>
          <w:tcPr>
            <w:tcW w:type="dxa" w:w="3540"/>
            <w:shd w:fill="425206" w:val="clear"/>
            <w:tcMar>
              <w:top w:type="dxa" w:w="50"/>
              <w:left w:type="dxa" w:w="90"/>
              <w:bottom w:type="dxa" w:w="50"/>
              <w:right w:type="dxa" w:w="90"/>
            </w:tcMar>
          </w:tcPr>
          <w:p>
            <w:r>
              <w:rPr>
                <w:b/>
                <w:bCs/>
                <w:color w:val="FFFFFF"/>
                <w:sz w:val="16"/>
                <w:szCs w:val="16"/>
              </w:rPr>
              <w:t xml:space="preserve">Use</w:t>
            </w:r>
          </w:p>
        </w:tc>
      </w:tr>
      <w:tr>
        <w:tc>
          <w:tcPr>
            <w:tcW w:type="dxa" w:w="1800"/>
            <w:tcMar>
              <w:top w:type="dxa" w:w="40"/>
              <w:left w:type="dxa" w:w="90"/>
              <w:bottom w:type="dxa" w:w="40"/>
              <w:right w:type="dxa" w:w="90"/>
            </w:tcMar>
          </w:tcPr>
          <w:p>
            <w:r>
              <w:rPr>
                <w:sz w:val="16"/>
                <w:szCs w:val="16"/>
              </w:rPr>
              <w:t xml:space="preserve">Logo</w:t>
            </w:r>
          </w:p>
        </w:tc>
        <w:tc>
          <w:tcPr>
            <w:tcW w:type="dxa" w:w="2900"/>
            <w:tcMar>
              <w:top w:type="dxa" w:w="40"/>
              <w:left w:type="dxa" w:w="90"/>
              <w:bottom w:type="dxa" w:w="40"/>
              <w:right w:type="dxa" w:w="90"/>
            </w:tcMar>
          </w:tcPr>
          <w:p>
            <w:r>
              <w:rPr>
                <w:sz w:val="16"/>
                <w:szCs w:val="16"/>
              </w:rPr>
              <w:t xml:space="preserve">Inquew_logo1.png</w:t>
            </w:r>
          </w:p>
        </w:tc>
        <w:tc>
          <w:tcPr>
            <w:tcW w:type="dxa" w:w="3540"/>
            <w:tcMar>
              <w:top w:type="dxa" w:w="40"/>
              <w:left w:type="dxa" w:w="90"/>
              <w:bottom w:type="dxa" w:w="40"/>
              <w:right w:type="dxa" w:w="90"/>
            </w:tcMar>
          </w:tcPr>
          <w:p>
            <w:r>
              <w:rPr>
                <w:sz w:val="16"/>
                <w:szCs w:val="16"/>
              </w:rPr>
              <w:t xml:space="preserve">Primary lockup, feather + wordmark on porcelain background</w:t>
            </w:r>
          </w:p>
        </w:tc>
      </w:tr>
      <w:tr>
        <w:tc>
          <w:tcPr>
            <w:tcW w:type="dxa" w:w="1800"/>
            <w:tcMar>
              <w:top w:type="dxa" w:w="40"/>
              <w:left w:type="dxa" w:w="90"/>
              <w:bottom w:type="dxa" w:w="40"/>
              <w:right w:type="dxa" w:w="90"/>
            </w:tcMar>
          </w:tcPr>
          <w:p>
            <w:r>
              <w:rPr>
                <w:sz w:val="16"/>
                <w:szCs w:val="16"/>
              </w:rPr>
              <w:t xml:space="preserve">Color palette</w:t>
            </w:r>
          </w:p>
        </w:tc>
        <w:tc>
          <w:tcPr>
            <w:tcW w:type="dxa" w:w="2900"/>
            <w:tcMar>
              <w:top w:type="dxa" w:w="40"/>
              <w:left w:type="dxa" w:w="90"/>
              <w:bottom w:type="dxa" w:w="40"/>
              <w:right w:type="dxa" w:w="90"/>
            </w:tcMar>
          </w:tcPr>
          <w:p>
            <w:r>
              <w:rPr>
                <w:sz w:val="16"/>
                <w:szCs w:val="16"/>
              </w:rPr>
              <w:t xml:space="preserve">Inquew_Color_palette.pdf</w:t>
            </w:r>
          </w:p>
        </w:tc>
        <w:tc>
          <w:tcPr>
            <w:tcW w:type="dxa" w:w="3540"/>
            <w:tcMar>
              <w:top w:type="dxa" w:w="40"/>
              <w:left w:type="dxa" w:w="90"/>
              <w:bottom w:type="dxa" w:w="40"/>
              <w:right w:type="dxa" w:w="90"/>
            </w:tcMar>
          </w:tcPr>
          <w:p>
            <w:r>
              <w:rPr>
                <w:sz w:val="16"/>
                <w:szCs w:val="16"/>
              </w:rPr>
              <w:t xml:space="preserve">Source palette; see Section 2.2 for confirmed role mapping</w:t>
            </w:r>
          </w:p>
        </w:tc>
      </w:tr>
      <w:tr>
        <w:tc>
          <w:tcPr>
            <w:tcW w:type="dxa" w:w="1800"/>
            <w:tcMar>
              <w:top w:type="dxa" w:w="40"/>
              <w:left w:type="dxa" w:w="90"/>
              <w:bottom w:type="dxa" w:w="40"/>
              <w:right w:type="dxa" w:w="90"/>
            </w:tcMar>
          </w:tcPr>
          <w:p>
            <w:r>
              <w:rPr>
                <w:sz w:val="16"/>
                <w:szCs w:val="16"/>
              </w:rPr>
              <w:t xml:space="preserve">Founder photo</w:t>
            </w:r>
          </w:p>
        </w:tc>
        <w:tc>
          <w:tcPr>
            <w:tcW w:type="dxa" w:w="2900"/>
            <w:tcMar>
              <w:top w:type="dxa" w:w="40"/>
              <w:left w:type="dxa" w:w="90"/>
              <w:bottom w:type="dxa" w:w="40"/>
              <w:right w:type="dxa" w:w="90"/>
            </w:tcMar>
          </w:tcPr>
          <w:p>
            <w:r>
              <w:rPr>
                <w:sz w:val="16"/>
                <w:szCs w:val="16"/>
              </w:rPr>
              <w:t xml:space="preserve">Team page photo (provided)</w:t>
            </w:r>
          </w:p>
        </w:tc>
        <w:tc>
          <w:tcPr>
            <w:tcW w:type="dxa" w:w="3540"/>
            <w:tcMar>
              <w:top w:type="dxa" w:w="40"/>
              <w:left w:type="dxa" w:w="90"/>
              <w:bottom w:type="dxa" w:w="40"/>
              <w:right w:type="dxa" w:w="90"/>
            </w:tcMar>
          </w:tcPr>
          <w:p>
            <w:r>
              <w:rPr>
                <w:sz w:val="16"/>
                <w:szCs w:val="16"/>
              </w:rPr>
              <w:t xml:space="preserve">Team page, per Section 6.4</w:t>
            </w:r>
          </w:p>
        </w:tc>
      </w:tr>
      <w:tr>
        <w:tc>
          <w:tcPr>
            <w:tcW w:type="dxa" w:w="1800"/>
            <w:tcMar>
              <w:top w:type="dxa" w:w="40"/>
              <w:left w:type="dxa" w:w="90"/>
              <w:bottom w:type="dxa" w:w="40"/>
              <w:right w:type="dxa" w:w="90"/>
            </w:tcMar>
          </w:tcPr>
          <w:p>
            <w:r>
              <w:rPr>
                <w:sz w:val="16"/>
                <w:szCs w:val="16"/>
              </w:rPr>
              <w:t xml:space="preserve">UI inspiration × 3</w:t>
            </w:r>
          </w:p>
        </w:tc>
        <w:tc>
          <w:tcPr>
            <w:tcW w:type="dxa" w:w="2900"/>
            <w:tcMar>
              <w:top w:type="dxa" w:w="40"/>
              <w:left w:type="dxa" w:w="90"/>
              <w:bottom w:type="dxa" w:w="40"/>
              <w:right w:type="dxa" w:w="90"/>
            </w:tcMar>
          </w:tcPr>
          <w:p>
            <w:r>
              <w:rPr>
                <w:sz w:val="16"/>
                <w:szCs w:val="16"/>
              </w:rPr>
              <w:t xml:space="preserve">Fintech, grocery (×2) screenshots</w:t>
            </w:r>
          </w:p>
        </w:tc>
        <w:tc>
          <w:tcPr>
            <w:tcW w:type="dxa" w:w="3540"/>
            <w:tcMar>
              <w:top w:type="dxa" w:w="40"/>
              <w:left w:type="dxa" w:w="90"/>
              <w:bottom w:type="dxa" w:w="40"/>
              <w:right w:type="dxa" w:w="90"/>
            </w:tcMar>
          </w:tcPr>
          <w:p>
            <w:r>
              <w:rPr>
                <w:sz w:val="16"/>
                <w:szCs w:val="16"/>
              </w:rPr>
              <w:t xml:space="preserve">Style reference, per Section 7</w:t>
            </w:r>
          </w:p>
        </w:tc>
      </w:tr>
      <w:tr>
        <w:tc>
          <w:tcPr>
            <w:tcW w:type="dxa" w:w="1800"/>
            <w:tcMar>
              <w:top w:type="dxa" w:w="40"/>
              <w:left w:type="dxa" w:w="90"/>
              <w:bottom w:type="dxa" w:w="40"/>
              <w:right w:type="dxa" w:w="90"/>
            </w:tcMar>
          </w:tcPr>
          <w:p>
            <w:r>
              <w:rPr>
                <w:sz w:val="16"/>
                <w:szCs w:val="16"/>
              </w:rPr>
              <w:t xml:space="preserve">Workflow logic</w:t>
            </w:r>
          </w:p>
        </w:tc>
        <w:tc>
          <w:tcPr>
            <w:tcW w:type="dxa" w:w="2900"/>
            <w:tcMar>
              <w:top w:type="dxa" w:w="40"/>
              <w:left w:type="dxa" w:w="90"/>
              <w:bottom w:type="dxa" w:w="40"/>
              <w:right w:type="dxa" w:w="90"/>
            </w:tcMar>
          </w:tcPr>
          <w:p>
            <w:r>
              <w:rPr>
                <w:sz w:val="16"/>
                <w:szCs w:val="16"/>
              </w:rPr>
              <w:t xml:space="preserve">Decision tree (HTML) + Mermaid.js flowchart</w:t>
            </w:r>
          </w:p>
        </w:tc>
        <w:tc>
          <w:tcPr>
            <w:tcW w:type="dxa" w:w="3540"/>
            <w:tcMar>
              <w:top w:type="dxa" w:w="40"/>
              <w:left w:type="dxa" w:w="90"/>
              <w:bottom w:type="dxa" w:w="40"/>
              <w:right w:type="dxa" w:w="90"/>
            </w:tcMar>
          </w:tcPr>
          <w:p>
            <w:r>
              <w:rPr>
                <w:sz w:val="16"/>
                <w:szCs w:val="16"/>
              </w:rPr>
              <w:t xml:space="preserve">Source of truth for Section 6.1; simplified for public UI</w:t>
            </w:r>
          </w:p>
        </w:tc>
      </w:tr>
      <w:tr>
        <w:tc>
          <w:tcPr>
            <w:tcW w:type="dxa" w:w="1800"/>
            <w:tcMar>
              <w:top w:type="dxa" w:w="40"/>
              <w:left w:type="dxa" w:w="90"/>
              <w:bottom w:type="dxa" w:w="40"/>
              <w:right w:type="dxa" w:w="90"/>
            </w:tcMar>
          </w:tcPr>
          <w:p>
            <w:r>
              <w:rPr>
                <w:sz w:val="16"/>
                <w:szCs w:val="16"/>
              </w:rPr>
              <w:t xml:space="preserve">Deliverables data</w:t>
            </w:r>
          </w:p>
        </w:tc>
        <w:tc>
          <w:tcPr>
            <w:tcW w:type="dxa" w:w="2900"/>
            <w:tcMar>
              <w:top w:type="dxa" w:w="40"/>
              <w:left w:type="dxa" w:w="90"/>
              <w:bottom w:type="dxa" w:w="40"/>
              <w:right w:type="dxa" w:w="90"/>
            </w:tcMar>
          </w:tcPr>
          <w:p>
            <w:r>
              <w:rPr>
                <w:sz w:val="16"/>
                <w:szCs w:val="16"/>
              </w:rPr>
              <w:t xml:space="preserve">Deliverables_Menu_Design_Ready.xlsx</w:t>
            </w:r>
          </w:p>
        </w:tc>
        <w:tc>
          <w:tcPr>
            <w:tcW w:type="dxa" w:w="3540"/>
            <w:tcMar>
              <w:top w:type="dxa" w:w="40"/>
              <w:left w:type="dxa" w:w="90"/>
              <w:bottom w:type="dxa" w:w="40"/>
              <w:right w:type="dxa" w:w="90"/>
            </w:tcMar>
          </w:tcPr>
          <w:p>
            <w:r>
              <w:rPr>
                <w:sz w:val="16"/>
                <w:szCs w:val="16"/>
              </w:rPr>
              <w:t xml:space="preserve">Full a la carte catalog, design-ready — see Section 8</w:t>
            </w:r>
          </w:p>
        </w:tc>
      </w:tr>
    </w:tbl>
    <w:p>
      <w:pPr>
        <w:pStyle w:val="Heading1"/>
        <w:spacing w:after="120" w:before="260"/>
      </w:pPr>
      <w:r>
        <w:t xml:space="preserve">10. Accessibility &amp; Responsive Notes</w:t>
      </w:r>
    </w:p>
    <w:p>
      <w:pPr>
        <w:pStyle w:val="ListParagraph"/>
        <w:numPr>
          <w:ilvl w:val="0"/>
          <w:numId w:val="1"/>
        </w:numPr>
        <w:spacing w:after="60"/>
      </w:pPr>
      <w:r>
        <w:t xml:space="preserve">Deep Olive (#425206) on Porcelain (#FDFCF9) is the recommended default body-text pairing over pure black — confirm contrast ratio meets WCAG AA (4.5:1) for body copy at final mockup sizes.</w:t>
      </w:r>
    </w:p>
    <w:p>
      <w:pPr>
        <w:pStyle w:val="ListParagraph"/>
        <w:numPr>
          <w:ilvl w:val="0"/>
          <w:numId w:val="1"/>
        </w:numPr>
        <w:spacing w:after="60"/>
      </w:pPr>
      <w:r>
        <w:t xml:space="preserve">Bright Cyan (#13E2E9) CTA buttons will need dark text (not white) to maintain adequate contrast — verify during mockup rather than defaulting to white button text.</w:t>
      </w:r>
    </w:p>
    <w:p>
      <w:pPr>
        <w:pStyle w:val="ListParagraph"/>
        <w:numPr>
          <w:ilvl w:val="0"/>
          <w:numId w:val="1"/>
        </w:numPr>
        <w:spacing w:after="60"/>
      </w:pPr>
      <w:r>
        <w:t xml:space="preserve">Deliverables Menu grid should collapse from a multi-column card grid (desktop) to a single-column scroll (mobile), consistent with the mobile-first patterns visible in the grocery-app references in Section 7.</w:t>
      </w:r>
    </w:p>
    <w:p>
      <w:pPr>
        <w:pStyle w:val="ListParagraph"/>
        <w:numPr>
          <w:ilvl w:val="0"/>
          <w:numId w:val="1"/>
        </w:numPr>
        <w:spacing w:after="60"/>
      </w:pPr>
      <w:r>
        <w:t xml:space="preserve">Video intake flow (camera/microphone permissions, upload progress) needs an explicit mobile treatment, since a meaningful share of first-time visitors are likely to record their intake video directly from a phone.</w:t>
      </w:r>
    </w:p>
    <w:p>
      <w:pPr>
        <w:pStyle w:val="Heading1"/>
        <w:spacing w:after="120" w:before="260"/>
      </w:pPr>
      <w:r>
        <w:t xml:space="preserve">11. Open Questions / Remaining</w:t>
      </w:r>
    </w:p>
    <w:p>
      <w:pPr>
        <w:spacing w:after="100"/>
      </w:pPr>
      <w:r>
        <w:rPr>
          <w:b/>
          <w:bCs/>
          <w:color w:val="B45309"/>
        </w:rPr>
        <w:t xml:space="preserve">Open question: </w:t>
      </w:r>
      <w:r>
        <w:rPr>
          <w:color w:val="7C2D12"/>
        </w:rPr>
        <w:t xml:space="preserve">Add-on upcharge pricing (video presentation, Zoom call) is not yet finalized — use placeholder “+$__” in the mockup.</w:t>
      </w:r>
    </w:p>
    <w:p>
      <w:pPr>
        <w:spacing w:after="100"/>
      </w:pPr>
      <w:r>
        <w:rPr>
          <w:b/>
          <w:bCs/>
          <w:color w:val="B45309"/>
        </w:rPr>
        <w:t xml:space="preserve">Open question: </w:t>
      </w:r>
      <w:r>
        <w:rPr>
          <w:color w:val="7C2D12"/>
        </w:rPr>
        <w:t xml:space="preserve">Tier-to-color mapping (Section 2.4) is a confirmed recommendation but has not been visually tested — flag to the founder if any tier badge reads poorly against the porcelain background once mocked up.</w:t>
      </w:r>
    </w:p>
    <w:p>
      <w:pPr>
        <w:spacing w:after="100"/>
      </w:pPr>
      <w:r>
        <w:rPr>
          <w:b/>
          <w:bCs/>
          <w:color w:val="B45309"/>
        </w:rPr>
        <w:t xml:space="preserve">Open question: </w:t>
      </w:r>
      <w:r>
        <w:rPr>
          <w:color w:val="7C2D12"/>
        </w:rPr>
        <w:t xml:space="preserve">Client Dashboard (Phase 2) is out of scope for the initial mockup pass but should keep the fintech/LMS references in mind if early wireframing touches it.</w:t>
      </w:r>
    </w:p>
    <w:p>
      <w:pPr>
        <w:spacing w:before="120"/>
      </w:pPr>
      <w:r>
        <w:rPr>
          <w:i/>
          <w:iCs/>
          <w:color w:val="6B7280"/>
          <w:sz w:val="17"/>
          <w:szCs w:val="17"/>
        </w:rPr>
        <w:t xml:space="preserve">This brief is a synthesis of brand assets and product research compiled earlier in this program. Refer to the companion Deliverables_Menu_Design_Ready.xlsx, Decision Tree, and Mermaid flowchart files for full underlying detail.</w:t>
      </w:r>
    </w:p>
    <w:sectPr>
      <w:pgSz w:w="12240" w:h="15840" w:orient="portrait"/>
      <w:pgMar w:top="720" w:right="1000" w:bottom="720" w:left="10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image" Target="media/1fffbdd453349c5a5e86b7b1b8ea350c518a5703.png"/><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2026-08-21T19:29:00.807Z</dcterms:created>
  <dcterms:modified xsi:type="dcterms:W3CDTF">2026-08-21T19:29:00.824Z</dcterms:modified>
</cp:coreProperties>
</file>

<file path=docProps/custom.xml><?xml version="1.0" encoding="utf-8"?>
<Properties xmlns="http://schemas.openxmlformats.org/officeDocument/2006/custom-properties" xmlns:vt="http://schemas.openxmlformats.org/officeDocument/2006/docPropsVTypes"/>
</file>