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154/7,043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1.5–3.0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1.9–2.6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7/1,011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0.2–1.3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0.32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0.11–0.66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0.15–0.67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0.43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0.14–0.95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0.19–0.93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17/603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1.2–5.2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1.8–4.5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1.29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0.60–2.23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0.79–2.11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1.29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0.55–2.59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0.75–2.22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1/238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0.1–2.3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0.03–1.37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0.17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0.00–0.74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0.02–1.23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0/16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0.0–19.4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79/6,121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0.9–1.7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1.0–1.6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86/1,993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4.3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1.9–7.1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3.5–5.3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3.34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1.45–6.11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2.47–4.52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3.03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1.52–5.21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2.09–4.38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13/448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1.3–5.1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1.7–4.9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2.25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0.94–4.46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1.26–4.01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2.22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0.89–5.18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1.18–4.18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1/341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0.1–1.6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0.00–0.76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0.03–1.63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0.00–1.07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0.04–1.98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0.0–32.4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41/2,532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0.7–3.1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0.29–1.47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0.45–0.98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0.27–1.70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0.47–1.10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61/2,493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1.1–4.1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1.9–3.1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28/2,018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0.8–2.1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0.57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0.27–1.31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0.36–0.88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0.31–1.46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0.42–1.11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19/1,175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0.7–2.9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0.24–1.64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0.40–1.10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0.30–2.13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0.51–1.58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23/591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2.3–5.9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2.6–5.8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0.75–3.68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0.99–2.55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2.64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1.20–5.85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1.51–4.60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7/102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6.9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2.3–12.0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3.4–13.5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0.89–7.22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1.32–5.98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4.25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1.19–10.98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1.80–10.03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144/6,943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1.3–3.0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1.8–2.4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8/1,059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0.4–1.5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0.11–0.76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0.18–0.74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0.18–2.94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0.32–1.74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26/753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1.8–5.5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2.4–5.0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0.81–3.31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1.10–2.51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0.70–7.46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1.16–3.48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0/82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0.0–4.5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1/64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0.0–11.8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0.3–8.3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0.00–6.06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0.11–5.30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0.00–9.14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0.10–5.46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0.0–6.7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0.5–6.0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0.00–4.41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0.25–4.09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0.00–4.20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0.21–3.84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85/2,207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1.7–6.6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3.1–4.7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2.28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0.93–4.73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1.60–3.25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2.51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1.11–4.83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1.67–3.77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14/1,433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0.58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0.24–1.17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0.32–1.05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0.26–1.36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0.34–1.18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46/2,727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1.1–2.4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31/2,373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0.36–1.59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0.25–2.49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0.52–1.46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1/53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0.0–9.1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0.3–9.9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0.00–5.46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0.16–7.96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0.11–7.07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129/5,771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1.4–3.3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1.9–2.6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50/3,140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1.2–2.1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0.36–1.36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0.52–0.98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0.47–1.72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0.64–1.30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29/557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5.2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3.0–7.7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3.6–7.4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1.29–5.25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1.70–3.85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36/2,031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1.3–2.4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0.87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0.41–1.82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0.59–1.28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92/4,518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1.7–2.5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22/1,805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0.1–3.4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0.03–1.98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0.38–0.95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8,911 source–contact pairs (contacts of confirmed/probable source cases whose first follow-up was on or before 18 Sep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