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1454F"/>
          <w:sz w:val="20"/>
        </w:rPr>
        <w:t>SI-5. Risk factors for becoming a secondary case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041"/>
        <w:gridCol w:w="1020"/>
        <w:gridCol w:w="737"/>
        <w:gridCol w:w="1304"/>
        <w:gridCol w:w="1304"/>
        <w:gridCol w:w="850"/>
        <w:gridCol w:w="1304"/>
        <w:gridCol w:w="1304"/>
        <w:gridCol w:w="1077"/>
        <w:gridCol w:w="1304"/>
        <w:gridCol w:w="1304"/>
      </w:tblGrid>
      <w:tr>
        <w:tc>
          <w:tcPr>
            <w:tcW w:type="dxa" w:w="147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Factor</w:t>
            </w:r>
          </w:p>
        </w:tc>
        <w:tc>
          <w:tcPr>
            <w:tcW w:type="dxa" w:w="2041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Level</w:t>
            </w:r>
          </w:p>
        </w:tc>
        <w:tc>
          <w:tcPr>
            <w:tcW w:type="dxa" w:w="1020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k/n</w:t>
            </w:r>
          </w:p>
        </w:tc>
        <w:tc>
          <w:tcPr>
            <w:tcW w:type="dxa" w:w="737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SAR %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SAR 95% CI (bootstrap)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SAR 95% CI (Wilson)</w:t>
            </w:r>
          </w:p>
        </w:tc>
        <w:tc>
          <w:tcPr>
            <w:tcW w:type="dxa" w:w="850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Crude RR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RR 95% CI (bootstrap)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RR 95% CI (Wald)</w:t>
            </w:r>
          </w:p>
        </w:tc>
        <w:tc>
          <w:tcPr>
            <w:tcW w:type="dxa" w:w="1077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Adjusted OR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aOR 95% CI (bootstrap)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aOR 95% CI (Wald)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Exposure type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direct physical contact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166/9,024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1.3–2.6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1.6–2.1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sleeping in the same home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12/1,353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0.4–1.4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0.5–1.5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0.48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0.22–0.86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0.27–0.86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0.59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0.26–1.14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0.32–1.10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contact with bodily fluids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23/842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2.7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1.3–4.5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1.8–4.1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1.48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0.76–2.43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0.97–2.28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1.35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0.60–2.53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0.83–2.19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handling contaminated clothes or linen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2/325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0.0–1.5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0.2–2.2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0.33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0.00–0.93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0.08–1.34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0.30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0.00–1.10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0.07–1.24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unknown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0/26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0.0–0.0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0.0–12.9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  <w:t>Setting</w:t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household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98/8,011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0.9–1.6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1.0–1.5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hospital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88/2,315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3.8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1.6–6.5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3.1–4.7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3.11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1.32–5.60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2.34–4.13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2.76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1.31–4.70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1.94–3.93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workplace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3/681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0.0–0.9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0.1–1.3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0.00–0.80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0.11–1.13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0.00–1.24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0.16–1.65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funeral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14/547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1.1–4.5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1.5–4.2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2.09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0.92–3.91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1.20–3.64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1.84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0.74–4.00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1.01–3.35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unknown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0/16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0.0–0.0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0.0–19.4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Relationship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unknown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72/3,512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2.1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1.1–3.3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1.6–2.6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neighbour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46/3,289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0.6–2.7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1.1–1.9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0.68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0.35–1.42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0.47–0.98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0.72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0.30–1.62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0.48–1.08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sibling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34/2,541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0.8–1.9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1.0–1.9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0.65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0.33–1.35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0.44–0.98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0.76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0.39–1.47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0.48–1.20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child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21/1,401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0.6–2.6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1.0–2.3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0.73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0.28–1.67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0.45–1.18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0.90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0.33–1.96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0.52–1.55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parent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23/696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3.3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1.9–5.0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2.2–4.9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1.61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0.77–3.37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1.02–2.56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2.36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1.11–4.82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1.37–4.08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spouse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7/131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5.3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2.0–9.6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2.6–10.6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2.61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0.90–6.02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1.22–5.55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3.65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1.10–8.30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1.57–8.45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  <w:t>Province (source)</w:t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Ituri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149/7,847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1.2–2.8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1.6–2.2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Nord-Kivu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19/1,823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0.6–1.7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0.7–1.6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0.28–1.10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0.34–0.88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1.19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0.46–3.42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0.63–2.25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Haut-Uele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31/1,264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1.5–3.8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1.7–3.5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1.29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0.70–2.54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0.88–1.89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1.66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0.71–4.46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1.01–2.75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Tshopo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4/544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0.2–1.5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0.3–1.9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0.07–0.90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0.14–1.04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0.09–1.96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0.20–1.91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Bas-Uele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0/82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0.0–0.0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0.0–4.5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Sud-Kivu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0/10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0.0–0.0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0.0–27.8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Month listed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2/118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0.0–7.1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0.5–6.0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1.51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0.00–6.85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0.37–6.12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1.18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0.00–6.89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0.27–5.15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86/2,221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3.9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1.6–6.9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3.1–4.8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3.44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1.36–7.08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2.43–4.87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3.44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1.24–10.35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2.11–5.61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2026-07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14/1,443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0.4–1.7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0.6–1.6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0.86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0.34–1.73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0.48–1.56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0.86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0.27–2.67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0.44–1.70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2026-08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46/2,846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1.0–2.4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1.2–2.1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1.44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0.79–2.68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0.96–2.14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1.28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0.56–3.48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0.80–2.03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49/4,355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0.7–1.7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0.9–1.5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2026-10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6/587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0.3–1.8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0.5–2.2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0.91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0.27–1.99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0.39–2.11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1.00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0.27–2.59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0.39–2.56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  <w:t>Source outcome</w:t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Source survived/unknown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146/7,777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1.2–2.8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1.6–2.2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Source died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57/3,793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0.9–2.2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1.2–1.9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0.43–1.41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0.59–1.08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0.52–1.62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0.67–1.31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Contacts listed by source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1-5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30/647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4.6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2.6–6.9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3.3–6.5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2.56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1.24–5.19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1.71–3.83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6-15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40/2,400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1.0–2.5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1.2–2.3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0.92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0.46–1.91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0.64–1.33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16-50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96/5,304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1.0–2.8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1.5–2.2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&gt;50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37/3,219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0.4–2.5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0.8–1.6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0.64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0.19–1.75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0.44–0.93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</w:tbl>
    <w:p>
      <w:r>
        <w:rPr>
          <w:i/>
          <w:sz w:val="14"/>
        </w:rPr>
        <w:t>Denominator: 11,570 source–contact pairs (contacts of confirmed/probable source cases whose first follow-up was on or before 28 Sep 2026). Secondary case: confirmed/probable in the linelist or CT 'case confirmed'/'case validated'. Reference level: 'unknown' for relationship; otherwise the most common level. Adjusted OR: single logistic regression including exposure type, setting, relationship, source province, source outcome and month listed; levels with no secondary cases are dropped ('–'). 95% CI (bootstrap): 2,000 resamples of source cases, accounting for clustering of contacts within source cases (used in the text); Wilson / Wald CIs assume independent contacts. Bootstrap CIs are unreliable for levels with fewer than 5 secondary cases (shown in grey) and are 0.0–0.0 where there were none.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