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199/14,029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0.57–1.97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0.33–5.21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0.16–485165195.41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0.20–4.71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14/2,169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0.21–0.94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0.14–2.59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0.09–351675887.09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0.10–2.71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26/1,119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1.6–3.4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2.14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0.71–3.89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0.51–8.93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1.43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0.19–485165195.41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0.29–7.20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2/698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0.26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0.04–1.86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0.21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0.00–155814313.63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0.03–1.65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0.0–2.2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0.3–3.9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121/11,799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0.47–4.11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0.56–2.57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0.18–302841272.89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0.31–2.24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93/3,448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1.2–4.4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2.2–3.3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3.16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0.97–11.09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1.47–6.79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0.40–485165195.41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0.71–5.21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6/1,097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0.12–2.42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0.22–1.90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0.07–171878620.19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0.17–2.24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16/1,035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0.55–7.02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0.75–4.38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0.26–485165195.41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0.46–4.32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7/820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0.4–1.8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87/5,619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50/4,899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0.34–1.29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0.47–0.93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0.47–1.02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46/4,303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0.40–1.27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0.48–0.98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0.47–1.47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0.54–1.25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22/2,071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0.27–1.46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0.43–1.09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0.29–1.66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0.46–1.32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29/1,107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1.7–3.8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1.8–3.7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0.94–3.28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1.12–2.56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2.23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1.20–4.39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1.36–3.65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9/200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4.5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1.9–7.7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2.4–8.3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2.91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1.13–6.17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1.48–5.69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1.32–8.24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1.76–7.86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176/12,026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27/2,968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0.32–1.12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0.42–0.93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0.42–2.10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0.53–1.60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32/1,660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1.2–3.0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1.4–2.7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0.72–2.37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0.91–1.91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0.76–2.99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0.95–2.28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5/1,309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0.1–0.6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0.2–0.9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0.08–0.52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0.11–0.63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0.08–0.59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0.11–0.70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3/226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0.0–5.4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0.5–3.8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0.00–3.94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0.29–2.82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0.00–8.51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0.33–3.56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0.0–5.1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0.4–4.9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0.00–5.78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0.36–5.93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0.00–4.55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0.22–4.06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89/2,628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1.5–5.8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2.8–4.1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1.46–7.35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2.58–5.05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1.34–6.56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1.99–4.51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17/2,136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0.39–1.64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0.49–1.46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0.33–1.74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0.42–1.38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55/4,834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1.21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0.71–2.10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0.84–1.76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0.58–2.20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0.72–1.65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54/5,759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26/2,696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1.03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0.56–1.82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0.65–1.64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0.56–2.21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0.69–1.85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170/11,446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73/6,753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0.9–1.4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0.43–1.22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0.55–0.96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0.48–1.35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0.60–1.10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37/987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2.5–5.2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2.7–5.1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1.49–5.01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1.88–3.92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51/4,052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0.49–1.73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0.65–1.27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108/7,824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47/5,336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0.25–1.38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18,199 source–contact pairs (contacts of confirmed/probable source cases whose first follow-up was on or before 10 Oct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