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31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12.0% (11.4-12.7)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1,218/10,119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(0.5-0.8)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64/10,119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22.0% (19.2-25.0)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4,830/21,930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21.5-22.6)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1.3% (1.0-1.7)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243/18,199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1.2-1.5)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(87/5,619)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2.91 (1.13-6.17)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4.5% (9/200); Wald CI 1.48-5.69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1.69 (0.94-3.28)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2.6% (29/1,107); Wald CI 1.12-2.56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0.69 (0.27-1.46)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(22/2,071); Wald CI 0.43-1.09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0.69 (0.40-1.27)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(46/4,303); Wald CI 0.48-0.98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0.66 (0.34-1.29)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(50/4,899); Wald CI 0.47-0.93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10.2 (8.4-12.6)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63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8.2 (6.3-10.2)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7.9 (6.0-10.9)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25.6 (20.5-33.6)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1.669 (1.041-2.535); rate 0.164 (0.097-0.254)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13.9 (11.3-17.4)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74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11.4 (8.9-14.3)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12.5 (10.2-16.1)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37.9 (31.3-48.2)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2.546 (1.787-3.460); rate 0.128 (0.085-0.178)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1,178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0-6); 216 negative (follow-up dated before notification); 30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