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2. Contact-tracing indicators by province (data cut 31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64"/>
        <w:gridCol w:w="964"/>
        <w:gridCol w:w="1304"/>
        <w:gridCol w:w="1361"/>
        <w:gridCol w:w="1077"/>
        <w:gridCol w:w="1077"/>
        <w:gridCol w:w="1191"/>
        <w:gridCol w:w="1587"/>
        <w:gridCol w:w="1587"/>
        <w:gridCol w:w="1247"/>
      </w:tblGrid>
      <w:tr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Province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Deaths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with contacts listed</w:t>
            </w:r>
          </w:p>
        </w:tc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known contact before notif.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Source cases*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Contacts*</w:t>
            </w:r>
          </w:p>
        </w:tc>
        <w:tc>
          <w:tcPr>
            <w:tcW w:type="dxa" w:w="119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Median contacts / source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contacts fully followed up (95% CI)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% (95% CI)</w:t>
            </w:r>
          </w:p>
        </w:tc>
        <w:tc>
          <w:tcPr>
            <w:tcW w:type="dxa" w:w="124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k/n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Ituri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7,186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2,616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12.4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1,079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14,084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26 (23–30)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 (1.0–2.0)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176/12,026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2,361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995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3,503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 (1–7)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0.9 (0.5–1.4)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27/2,968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Haut-Uele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453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81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7"/>
              </w:rPr>
              <w:t>38.9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263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2,444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24 (18–31)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1.9 (1.2–3.0)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7"/>
              </w:rPr>
              <w:t>32/1,660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Tshopo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69.9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91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1,872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 (16–34)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0.4 (0.1–0.6)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5/1,309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Bas-Uele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226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88 (60–100)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 (0.0–5.4)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3/226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Sud-Kivu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 (0–25)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(0.0–0.0)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0/10</w:t>
            </w:r>
          </w:p>
        </w:tc>
      </w:tr>
      <w:tr>
        <w:tc>
          <w:tcPr>
            <w:tcW w:type="dxa" w:w="1361"/>
            <w:shd w:val="clear" w:color="auto" w:fill="e3f0f1"/>
          </w:tcPr>
          <w:p>
            <w:r/>
            <w:r>
              <w:rPr>
                <w:b/>
                <w:sz w:val="17"/>
              </w:rPr>
              <w:t>National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10,119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3,703</w:t>
            </w:r>
          </w:p>
        </w:tc>
        <w:tc>
          <w:tcPr>
            <w:tcW w:type="dxa" w:w="130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12.0</w:t>
            </w:r>
          </w:p>
        </w:tc>
        <w:tc>
          <w:tcPr>
            <w:tcW w:type="dxa" w:w="136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0.6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1,708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23,423</w:t>
            </w:r>
          </w:p>
        </w:tc>
        <w:tc>
          <w:tcPr>
            <w:tcW w:type="dxa" w:w="119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 (19–25)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1.3 (1.0–1.7)</w:t>
            </w:r>
          </w:p>
        </w:tc>
        <w:tc>
          <w:tcPr>
            <w:tcW w:type="dxa" w:w="124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243/18,199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Nord-Ubangi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Sud-Ubangi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</w:tbl>
    <w:p>
      <w:r>
        <w:rPr>
          <w:i/>
          <w:sz w:val="15"/>
        </w:rPr>
        <w:t>*Province of the source case. National totals include 36 source persons with Kasai (Bulape) alert-ID prefixes, 128 with unlocatable IDs, 2 in Tshuapa. Follow-up: contacts whose first follow-up was on or before 10 Oct 2026 (21 days before the data cut), with a result recorded to day 21 of follow-up (secondary cases: to detection). SAR: contacts of confirmed/probable source cases in that group; secondary case = confirmed/probable in the linelist or CT 'case confirmed'/'case validated'. 95% CIs: bootstrap resampling source cases (2,000 replicates); Wilson CIs are in tables/province_table.csv. Groups with no secondary cases have a bootstrap CI of 0–0. Bold: highest SAR among provinces with ≥100 eligible contacts.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