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1454F"/>
        </w:rPr>
        <w:t>Table 1. Contact tracing performance and epidemiological parameters, Bundibugyo virus disease, DRC (data cut 29 October 2026)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835"/>
        <w:gridCol w:w="1814"/>
        <w:gridCol w:w="2608"/>
      </w:tblGrid>
      <w:tr>
        <w:tc>
          <w:tcPr>
            <w:tcW w:type="dxa" w:w="2608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2835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Estimate (95% CI/CrI)</w:t>
            </w:r>
          </w:p>
        </w:tc>
        <w:tc>
          <w:tcPr>
            <w:tcW w:type="dxa" w:w="181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2608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Contact tracing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Cases with &gt;=1 contact listed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12.2% (11.5-12.8)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1,198/9,851 cases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Confirmed/probable cases appearing as a source case in the CT data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Cases already a listed contact before notification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0.6% (0.5-0.8)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63/9,851 cases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Follow-up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Contacts fully followed up (to day 21 of follow-up)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22.0% (19.0-25.1)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4,704/21,430 contacts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Closed windows: first follow-up on/before data cut - 21 d. CI: bootstrap by source case (Wilson 21.4-22.5)</w:t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Secondary attack rate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Overall SAR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1.3% (1.0-1.7)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238/17,801 contacts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Linelist confirmed/probable or CT 'case confirmed'/'case validated'. CI: bootstrap by source case (Wilson 1.2-1.5)</w:t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Risk ratio by relationship (vs unknown)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Unknown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 (reference)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1.5% (85/5,512)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Spouse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3.02 (1.20-6.46)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4.7% (9/193); Wald CI 1.54-5.92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Parent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1.72 (0.95-3.24)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2.6% (28/1,058); Wald CI 1.13-2.62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Child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0.67 (0.25-1.47)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1.0% (21/2,020); Wald CI 0.42-1.08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Sibling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0.69 (0.39-1.24)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1.1% (45/4,219); Wald CI 0.48-0.99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Neighbour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0.68 (0.34-1.27)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1.0% (50/4,799); Wald CI 0.48-0.96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Incubation period (gamma fit, days)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Mean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10.2 (8.3-12.6)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63 pairs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Median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8.2 (6.3-10.1)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SD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7.9 (6.0-11.0)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95th percentile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25.5 (20.5-33.9)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Parameters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shape 1.657 (1.050-2.565); rate 0.163 (0.098-0.255)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Serial interval (gamma fit, days)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Mean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13.9 (11.3-17.2)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74 pairs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Median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11.3 (8.8-14.2)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SD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12.5 (10.1-16.0)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95th percentile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37.9 (31.1-47.8)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Parameters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shape 2.544 (1.810-3.451); rate 0.128 (0.087-0.179) [fitted to delay + 6]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Time from source-case notification to first contact follow-up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Mean (days)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3.6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1,159 source cases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Median 2 (IQR 0-6); 210 negative (follow-up dated before notification); 30 outside +/-60 d excluded</w:t>
            </w:r>
          </w:p>
        </w:tc>
      </w:tr>
    </w:tbl>
    <w:p>
      <w:r>
        <w:rPr>
          <w:sz w:val="15"/>
        </w:rPr>
        <w:t>CI: Wilson for case-level proportions; for follow-up coverage, SAR and risk ratios, 95% bootstrap CI resampling source cases (2,000 replicates; Wilson / Wald CI in notes). Incubation period and serial interval: gamma distributions, posterior median and 95% credible interval, fitted with epidist accounting for daily interval censoring and right truncation (main analysis inclusion criteria; see Methods).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