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1454F"/>
        </w:rPr>
        <w:t>Table 2. Contact-tracing indicators by province (data cut 30 October 2026)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361"/>
        <w:gridCol w:w="964"/>
        <w:gridCol w:w="964"/>
        <w:gridCol w:w="1304"/>
        <w:gridCol w:w="1361"/>
        <w:gridCol w:w="1077"/>
        <w:gridCol w:w="1077"/>
        <w:gridCol w:w="1191"/>
        <w:gridCol w:w="1587"/>
        <w:gridCol w:w="1587"/>
        <w:gridCol w:w="1247"/>
      </w:tblGrid>
      <w:tr>
        <w:tc>
          <w:tcPr>
            <w:tcW w:type="dxa" w:w="1361"/>
            <w:shd w:val="clear" w:color="auto" w:fill="01454f"/>
          </w:tcPr>
          <w:p>
            <w:r/>
            <w:r>
              <w:rPr>
                <w:b/>
                <w:color w:val="FFFFFF"/>
                <w:sz w:val="17"/>
              </w:rPr>
              <w:t>Province</w:t>
            </w:r>
          </w:p>
        </w:tc>
        <w:tc>
          <w:tcPr>
            <w:tcW w:type="dxa" w:w="964"/>
            <w:shd w:val="clear" w:color="auto" w:fill="01454f"/>
          </w:tcPr>
          <w:p>
            <w:r/>
            <w:r>
              <w:rPr>
                <w:b/>
                <w:color w:val="FFFFFF"/>
                <w:sz w:val="17"/>
              </w:rPr>
              <w:t>Cases</w:t>
            </w:r>
          </w:p>
        </w:tc>
        <w:tc>
          <w:tcPr>
            <w:tcW w:type="dxa" w:w="964"/>
            <w:shd w:val="clear" w:color="auto" w:fill="01454f"/>
          </w:tcPr>
          <w:p>
            <w:r/>
            <w:r>
              <w:rPr>
                <w:b/>
                <w:color w:val="FFFFFF"/>
                <w:sz w:val="17"/>
              </w:rPr>
              <w:t>Deaths</w:t>
            </w:r>
          </w:p>
        </w:tc>
        <w:tc>
          <w:tcPr>
            <w:tcW w:type="dxa" w:w="1304"/>
            <w:shd w:val="clear" w:color="auto" w:fill="01454f"/>
          </w:tcPr>
          <w:p>
            <w:r/>
            <w:r>
              <w:rPr>
                <w:b/>
                <w:color w:val="FFFFFF"/>
                <w:sz w:val="17"/>
              </w:rPr>
              <w:t>% cases with contacts listed</w:t>
            </w:r>
          </w:p>
        </w:tc>
        <w:tc>
          <w:tcPr>
            <w:tcW w:type="dxa" w:w="1361"/>
            <w:shd w:val="clear" w:color="auto" w:fill="01454f"/>
          </w:tcPr>
          <w:p>
            <w:r/>
            <w:r>
              <w:rPr>
                <w:b/>
                <w:color w:val="FFFFFF"/>
                <w:sz w:val="17"/>
              </w:rPr>
              <w:t>% cases known contact before notif.</w:t>
            </w:r>
          </w:p>
        </w:tc>
        <w:tc>
          <w:tcPr>
            <w:tcW w:type="dxa" w:w="1077"/>
            <w:shd w:val="clear" w:color="auto" w:fill="01454f"/>
          </w:tcPr>
          <w:p>
            <w:r/>
            <w:r>
              <w:rPr>
                <w:b/>
                <w:color w:val="FFFFFF"/>
                <w:sz w:val="17"/>
              </w:rPr>
              <w:t>Source cases*</w:t>
            </w:r>
          </w:p>
        </w:tc>
        <w:tc>
          <w:tcPr>
            <w:tcW w:type="dxa" w:w="1077"/>
            <w:shd w:val="clear" w:color="auto" w:fill="01454f"/>
          </w:tcPr>
          <w:p>
            <w:r/>
            <w:r>
              <w:rPr>
                <w:b/>
                <w:color w:val="FFFFFF"/>
                <w:sz w:val="17"/>
              </w:rPr>
              <w:t>Contacts*</w:t>
            </w:r>
          </w:p>
        </w:tc>
        <w:tc>
          <w:tcPr>
            <w:tcW w:type="dxa" w:w="1191"/>
            <w:shd w:val="clear" w:color="auto" w:fill="01454f"/>
          </w:tcPr>
          <w:p>
            <w:r/>
            <w:r>
              <w:rPr>
                <w:b/>
                <w:color w:val="FFFFFF"/>
                <w:sz w:val="17"/>
              </w:rPr>
              <w:t>Median contacts / source</w:t>
            </w:r>
          </w:p>
        </w:tc>
        <w:tc>
          <w:tcPr>
            <w:tcW w:type="dxa" w:w="1587"/>
            <w:shd w:val="clear" w:color="auto" w:fill="01454f"/>
          </w:tcPr>
          <w:p>
            <w:r/>
            <w:r>
              <w:rPr>
                <w:b/>
                <w:color w:val="FFFFFF"/>
                <w:sz w:val="17"/>
              </w:rPr>
              <w:t>% contacts fully followed up (95% CI)</w:t>
            </w:r>
          </w:p>
        </w:tc>
        <w:tc>
          <w:tcPr>
            <w:tcW w:type="dxa" w:w="1587"/>
            <w:shd w:val="clear" w:color="auto" w:fill="01454f"/>
          </w:tcPr>
          <w:p>
            <w:r/>
            <w:r>
              <w:rPr>
                <w:b/>
                <w:color w:val="FFFFFF"/>
                <w:sz w:val="17"/>
              </w:rPr>
              <w:t>SAR % (95% CI)</w:t>
            </w:r>
          </w:p>
        </w:tc>
        <w:tc>
          <w:tcPr>
            <w:tcW w:type="dxa" w:w="1247"/>
            <w:shd w:val="clear" w:color="auto" w:fill="01454f"/>
          </w:tcPr>
          <w:p>
            <w:r/>
            <w:r>
              <w:rPr>
                <w:b/>
                <w:color w:val="FFFFFF"/>
                <w:sz w:val="17"/>
              </w:rPr>
              <w:t>SAR k/n</w:t>
            </w:r>
          </w:p>
        </w:tc>
      </w:tr>
      <w:tr>
        <w:tc>
          <w:tcPr>
            <w:tcW w:type="dxa" w:w="1361"/>
          </w:tcPr>
          <w:p>
            <w:r/>
            <w:r>
              <w:rPr>
                <w:b w:val="0"/>
                <w:sz w:val="17"/>
              </w:rPr>
              <w:t>Ituri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7,084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2,579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12.5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0.6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1,072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13,994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26 (22–30)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1.4 (1.0–2.0)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172/11,934</w:t>
            </w:r>
          </w:p>
        </w:tc>
      </w:tr>
      <w:tr>
        <w:tc>
          <w:tcPr>
            <w:tcW w:type="dxa" w:w="1361"/>
            <w:shd w:val="clear" w:color="auto" w:fill="f2f7f8"/>
          </w:tcPr>
          <w:p>
            <w:r/>
            <w:r>
              <w:rPr>
                <w:b w:val="0"/>
                <w:sz w:val="17"/>
              </w:rPr>
              <w:t>Nord-Kivu</w:t>
            </w:r>
          </w:p>
        </w:tc>
        <w:tc>
          <w:tcPr>
            <w:tcW w:type="dxa" w:w="964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2,329</w:t>
            </w:r>
          </w:p>
        </w:tc>
        <w:tc>
          <w:tcPr>
            <w:tcW w:type="dxa" w:w="964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991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3.4</w:t>
            </w:r>
          </w:p>
        </w:tc>
        <w:tc>
          <w:tcPr>
            <w:tcW w:type="dxa" w:w="1361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0.5</w:t>
            </w:r>
          </w:p>
        </w:tc>
        <w:tc>
          <w:tcPr>
            <w:tcW w:type="dxa" w:w="1077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101</w:t>
            </w:r>
          </w:p>
        </w:tc>
        <w:tc>
          <w:tcPr>
            <w:tcW w:type="dxa" w:w="1077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3,515</w:t>
            </w:r>
          </w:p>
        </w:tc>
        <w:tc>
          <w:tcPr>
            <w:tcW w:type="dxa" w:w="1191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17</w:t>
            </w:r>
          </w:p>
        </w:tc>
        <w:tc>
          <w:tcPr>
            <w:tcW w:type="dxa" w:w="1587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4 (2–8)</w:t>
            </w:r>
          </w:p>
        </w:tc>
        <w:tc>
          <w:tcPr>
            <w:tcW w:type="dxa" w:w="1587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0.9 (0.5–1.4)</w:t>
            </w:r>
          </w:p>
        </w:tc>
        <w:tc>
          <w:tcPr>
            <w:tcW w:type="dxa" w:w="1247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27/2,965</w:t>
            </w:r>
          </w:p>
        </w:tc>
      </w:tr>
      <w:tr>
        <w:tc>
          <w:tcPr>
            <w:tcW w:type="dxa" w:w="1361"/>
          </w:tcPr>
          <w:p>
            <w:r/>
            <w:r>
              <w:rPr>
                <w:b/>
                <w:sz w:val="17"/>
              </w:rPr>
              <w:t>Haut-Uele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b/>
                <w:sz w:val="17"/>
              </w:rPr>
              <w:t>453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b/>
                <w:sz w:val="17"/>
              </w:rPr>
              <w:t>81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b/>
                <w:sz w:val="17"/>
              </w:rPr>
              <w:t>37.7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b/>
                <w:sz w:val="17"/>
              </w:rPr>
              <w:t>2.0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b/>
                <w:sz w:val="17"/>
              </w:rPr>
              <w:t>258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b/>
                <w:sz w:val="17"/>
              </w:rPr>
              <w:t>2,373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b/>
                <w:sz w:val="17"/>
              </w:rPr>
              <w:t>5.5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b/>
                <w:sz w:val="17"/>
              </w:rPr>
              <w:t>23 (17–30)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b/>
                <w:sz w:val="17"/>
              </w:rPr>
              <w:t>2.0 (1.2–3.0)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b/>
                <w:sz w:val="17"/>
              </w:rPr>
              <w:t>32/1,596</w:t>
            </w:r>
          </w:p>
        </w:tc>
      </w:tr>
      <w:tr>
        <w:tc>
          <w:tcPr>
            <w:tcW w:type="dxa" w:w="1361"/>
            <w:shd w:val="clear" w:color="auto" w:fill="f2f7f8"/>
          </w:tcPr>
          <w:p>
            <w:r/>
            <w:r>
              <w:rPr>
                <w:b w:val="0"/>
                <w:sz w:val="17"/>
              </w:rPr>
              <w:t>Tshopo</w:t>
            </w:r>
          </w:p>
        </w:tc>
        <w:tc>
          <w:tcPr>
            <w:tcW w:type="dxa" w:w="964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93</w:t>
            </w:r>
          </w:p>
        </w:tc>
        <w:tc>
          <w:tcPr>
            <w:tcW w:type="dxa" w:w="964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67.7</w:t>
            </w:r>
          </w:p>
        </w:tc>
        <w:tc>
          <w:tcPr>
            <w:tcW w:type="dxa" w:w="1361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2.2</w:t>
            </w:r>
          </w:p>
        </w:tc>
        <w:tc>
          <w:tcPr>
            <w:tcW w:type="dxa" w:w="1077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88</w:t>
            </w:r>
          </w:p>
        </w:tc>
        <w:tc>
          <w:tcPr>
            <w:tcW w:type="dxa" w:w="1077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1,822</w:t>
            </w:r>
          </w:p>
        </w:tc>
        <w:tc>
          <w:tcPr>
            <w:tcW w:type="dxa" w:w="1191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13.5</w:t>
            </w:r>
          </w:p>
        </w:tc>
        <w:tc>
          <w:tcPr>
            <w:tcW w:type="dxa" w:w="1587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27 (18–37)</w:t>
            </w:r>
          </w:p>
        </w:tc>
        <w:tc>
          <w:tcPr>
            <w:tcW w:type="dxa" w:w="1587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0.4 (0.1–0.7)</w:t>
            </w:r>
          </w:p>
        </w:tc>
        <w:tc>
          <w:tcPr>
            <w:tcW w:type="dxa" w:w="1247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5/1,222</w:t>
            </w:r>
          </w:p>
        </w:tc>
      </w:tr>
      <w:tr>
        <w:tc>
          <w:tcPr>
            <w:tcW w:type="dxa" w:w="1361"/>
          </w:tcPr>
          <w:p>
            <w:r/>
            <w:r>
              <w:rPr>
                <w:b w:val="0"/>
                <w:sz w:val="17"/>
              </w:rPr>
              <w:t>Bas-Uele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27.8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0.0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226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21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88 (58–100)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1.3 (0.0–4.6)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3/226</w:t>
            </w:r>
          </w:p>
        </w:tc>
      </w:tr>
      <w:tr>
        <w:tc>
          <w:tcPr>
            <w:tcW w:type="dxa" w:w="1361"/>
            <w:shd w:val="clear" w:color="auto" w:fill="f2f7f8"/>
          </w:tcPr>
          <w:p>
            <w:r/>
            <w:r>
              <w:rPr>
                <w:b w:val="0"/>
                <w:sz w:val="17"/>
              </w:rPr>
              <w:t>Sud-Kivu</w:t>
            </w:r>
          </w:p>
        </w:tc>
        <w:tc>
          <w:tcPr>
            <w:tcW w:type="dxa" w:w="964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964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25.0</w:t>
            </w:r>
          </w:p>
        </w:tc>
        <w:tc>
          <w:tcPr>
            <w:tcW w:type="dxa" w:w="1361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0.0</w:t>
            </w:r>
          </w:p>
        </w:tc>
        <w:tc>
          <w:tcPr>
            <w:tcW w:type="dxa" w:w="1077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077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34</w:t>
            </w:r>
          </w:p>
        </w:tc>
        <w:tc>
          <w:tcPr>
            <w:tcW w:type="dxa" w:w="1191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17</w:t>
            </w:r>
          </w:p>
        </w:tc>
        <w:tc>
          <w:tcPr>
            <w:tcW w:type="dxa" w:w="1587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18 (0–25)</w:t>
            </w:r>
          </w:p>
        </w:tc>
        <w:tc>
          <w:tcPr>
            <w:tcW w:type="dxa" w:w="1587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0.0 (0.0–0.0)</w:t>
            </w:r>
          </w:p>
        </w:tc>
        <w:tc>
          <w:tcPr>
            <w:tcW w:type="dxa" w:w="1247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0/10</w:t>
            </w:r>
          </w:p>
        </w:tc>
      </w:tr>
      <w:tr>
        <w:tc>
          <w:tcPr>
            <w:tcW w:type="dxa" w:w="1361"/>
            <w:shd w:val="clear" w:color="auto" w:fill="e3f0f1"/>
          </w:tcPr>
          <w:p>
            <w:r/>
            <w:r>
              <w:rPr>
                <w:b/>
                <w:sz w:val="17"/>
              </w:rPr>
              <w:t>National</w:t>
            </w:r>
          </w:p>
        </w:tc>
        <w:tc>
          <w:tcPr>
            <w:tcW w:type="dxa" w:w="964"/>
            <w:shd w:val="clear" w:color="auto" w:fill="e3f0f1"/>
          </w:tcPr>
          <w:p>
            <w:pPr>
              <w:jc w:val="right"/>
            </w:pPr>
            <w:r/>
            <w:r>
              <w:rPr>
                <w:b/>
                <w:sz w:val="17"/>
              </w:rPr>
              <w:t>9,985</w:t>
            </w:r>
          </w:p>
        </w:tc>
        <w:tc>
          <w:tcPr>
            <w:tcW w:type="dxa" w:w="964"/>
            <w:shd w:val="clear" w:color="auto" w:fill="e3f0f1"/>
          </w:tcPr>
          <w:p>
            <w:pPr>
              <w:jc w:val="right"/>
            </w:pPr>
            <w:r/>
            <w:r>
              <w:rPr>
                <w:b/>
                <w:sz w:val="17"/>
              </w:rPr>
              <w:t>3,662</w:t>
            </w:r>
          </w:p>
        </w:tc>
        <w:tc>
          <w:tcPr>
            <w:tcW w:type="dxa" w:w="1304"/>
            <w:shd w:val="clear" w:color="auto" w:fill="e3f0f1"/>
          </w:tcPr>
          <w:p>
            <w:pPr>
              <w:jc w:val="right"/>
            </w:pPr>
            <w:r/>
            <w:r>
              <w:rPr>
                <w:b/>
                <w:sz w:val="17"/>
              </w:rPr>
              <w:t>12.0</w:t>
            </w:r>
          </w:p>
        </w:tc>
        <w:tc>
          <w:tcPr>
            <w:tcW w:type="dxa" w:w="1361"/>
            <w:shd w:val="clear" w:color="auto" w:fill="e3f0f1"/>
          </w:tcPr>
          <w:p>
            <w:pPr>
              <w:jc w:val="right"/>
            </w:pPr>
            <w:r/>
            <w:r>
              <w:rPr>
                <w:b/>
                <w:sz w:val="17"/>
              </w:rPr>
              <w:t>0.6</w:t>
            </w:r>
          </w:p>
        </w:tc>
        <w:tc>
          <w:tcPr>
            <w:tcW w:type="dxa" w:w="1077"/>
            <w:shd w:val="clear" w:color="auto" w:fill="e3f0f1"/>
          </w:tcPr>
          <w:p>
            <w:pPr>
              <w:jc w:val="right"/>
            </w:pPr>
            <w:r/>
            <w:r>
              <w:rPr>
                <w:b/>
                <w:sz w:val="17"/>
              </w:rPr>
              <w:t>1,692</w:t>
            </w:r>
          </w:p>
        </w:tc>
        <w:tc>
          <w:tcPr>
            <w:tcW w:type="dxa" w:w="1077"/>
            <w:shd w:val="clear" w:color="auto" w:fill="e3f0f1"/>
          </w:tcPr>
          <w:p>
            <w:pPr>
              <w:jc w:val="right"/>
            </w:pPr>
            <w:r/>
            <w:r>
              <w:rPr>
                <w:b/>
                <w:sz w:val="17"/>
              </w:rPr>
              <w:t>23,224</w:t>
            </w:r>
          </w:p>
        </w:tc>
        <w:tc>
          <w:tcPr>
            <w:tcW w:type="dxa" w:w="1191"/>
            <w:shd w:val="clear" w:color="auto" w:fill="e3f0f1"/>
          </w:tcPr>
          <w:p>
            <w:pPr>
              <w:jc w:val="right"/>
            </w:pPr>
            <w:r/>
            <w:r>
              <w:rPr>
                <w:b/>
                <w:sz w:val="17"/>
              </w:rPr>
              <w:t>7</w:t>
            </w:r>
          </w:p>
        </w:tc>
        <w:tc>
          <w:tcPr>
            <w:tcW w:type="dxa" w:w="1587"/>
            <w:shd w:val="clear" w:color="auto" w:fill="e3f0f1"/>
          </w:tcPr>
          <w:p>
            <w:pPr>
              <w:jc w:val="right"/>
            </w:pPr>
            <w:r/>
            <w:r>
              <w:rPr>
                <w:b/>
                <w:sz w:val="17"/>
              </w:rPr>
              <w:t>22 (19–25)</w:t>
            </w:r>
          </w:p>
        </w:tc>
        <w:tc>
          <w:tcPr>
            <w:tcW w:type="dxa" w:w="1587"/>
            <w:shd w:val="clear" w:color="auto" w:fill="e3f0f1"/>
          </w:tcPr>
          <w:p>
            <w:pPr>
              <w:jc w:val="right"/>
            </w:pPr>
            <w:r/>
            <w:r>
              <w:rPr>
                <w:b/>
                <w:sz w:val="17"/>
              </w:rPr>
              <w:t>1.3 (1.0–1.7)</w:t>
            </w:r>
          </w:p>
        </w:tc>
        <w:tc>
          <w:tcPr>
            <w:tcW w:type="dxa" w:w="1247"/>
            <w:shd w:val="clear" w:color="auto" w:fill="e3f0f1"/>
          </w:tcPr>
          <w:p>
            <w:pPr>
              <w:jc w:val="right"/>
            </w:pPr>
            <w:r/>
            <w:r>
              <w:rPr>
                <w:b/>
                <w:sz w:val="17"/>
              </w:rPr>
              <w:t>239/17,953</w:t>
            </w:r>
          </w:p>
        </w:tc>
      </w:tr>
      <w:tr>
        <w:tc>
          <w:tcPr>
            <w:tcW w:type="dxa" w:w="1361"/>
            <w:shd w:val="clear" w:color="auto" w:fill="f2f7f8"/>
          </w:tcPr>
          <w:p>
            <w:r/>
            <w:r>
              <w:rPr>
                <w:b w:val="0"/>
                <w:sz w:val="17"/>
              </w:rPr>
              <w:t>Nord-Ubangi</w:t>
            </w:r>
          </w:p>
        </w:tc>
        <w:tc>
          <w:tcPr>
            <w:tcW w:type="dxa" w:w="964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964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0.0</w:t>
            </w:r>
          </w:p>
        </w:tc>
        <w:tc>
          <w:tcPr>
            <w:tcW w:type="dxa" w:w="1361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0.0</w:t>
            </w:r>
          </w:p>
        </w:tc>
        <w:tc>
          <w:tcPr>
            <w:tcW w:type="dxa" w:w="1077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7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191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-</w:t>
            </w:r>
          </w:p>
        </w:tc>
        <w:tc>
          <w:tcPr>
            <w:tcW w:type="dxa" w:w="1587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-</w:t>
            </w:r>
          </w:p>
        </w:tc>
        <w:tc>
          <w:tcPr>
            <w:tcW w:type="dxa" w:w="1587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-</w:t>
            </w:r>
          </w:p>
        </w:tc>
        <w:tc>
          <w:tcPr>
            <w:tcW w:type="dxa" w:w="1247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-</w:t>
            </w:r>
          </w:p>
        </w:tc>
      </w:tr>
      <w:tr>
        <w:tc>
          <w:tcPr>
            <w:tcW w:type="dxa" w:w="1361"/>
          </w:tcPr>
          <w:p>
            <w:r/>
            <w:r>
              <w:rPr>
                <w:b w:val="0"/>
                <w:sz w:val="17"/>
              </w:rPr>
              <w:t>Sud-Ubangi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0.0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0.0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-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-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-</w:t>
            </w:r>
          </w:p>
        </w:tc>
      </w:tr>
    </w:tbl>
    <w:p>
      <w:r>
        <w:rPr>
          <w:i/>
          <w:sz w:val="15"/>
        </w:rPr>
        <w:t>*Province of the source case. National totals include 36 source persons with Kasai (Bulape) alert-ID prefixes, 128 with unlocatable IDs, 2 in Tshuapa. Follow-up: contacts whose first follow-up was on or before 09 Oct 2026 (21 days before the data cut), with a result recorded to day 21 of follow-up (secondary cases: to detection). SAR: contacts of confirmed/probable source cases in that group; secondary case = confirmed/probable in the linelist or CT 'case confirmed'/'case validated'. 95% CIs: bootstrap resampling source cases (2,000 replicates); Wilson CIs are in tables/province_table.csv. Groups with no secondary cases have a bootstrap CI of 0–0. Bold: highest SAR among provinces with ≥100 eligible contacts.</w:t>
      </w:r>
    </w:p>
    <w:sectPr w:rsidR="00FC693F" w:rsidRPr="0006063C" w:rsidSect="00034616">
      <w:pgSz w:w="16838" w:h="11906" w:orient="landscape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