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30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12.0% (11.4-12.7)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1,202/9,985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0.6% (0.5-0.8)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63/9,985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22.0% (19.0-25.0)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4,746/21,598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21.4-22.5)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1.3% (1.0-1.7)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239/17,953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1.2-1.5)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1.5% (85/5,544)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2.99 (1.16-6.39)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4.6% (9/196); Wald CI 1.53-5.87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1.69 (0.91-3.09)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2.6% (28/1,078); Wald CI 1.11-2.58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0.68 (0.26-1.50)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(21/2,025); Wald CI 0.42-1.09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0.70 (0.39-1.25)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1.1% (46/4,262); Wald CI 0.49-1.01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0.67 (0.35-1.28)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(50/4,848); Wald CI 0.48-0.95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10.2 (8.3-12.6)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63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8.3 (6.4-10.3)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7.9 (6.0-10.9)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25.7 (20.4-33.7)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1.660 (1.058-2.539); rate 0.163 (0.099-0.258)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13.9 (11.2-17.3)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74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11.4 (8.8-14.2)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12.4 (10.2-15.8)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37.8 (31.3-47.3)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2.546 (1.841-3.458); rate 0.128 (0.088-0.177) [fitted to delay + 6]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3.6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1,163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0-6); 214 negative (follow-up dated before notification); 30 outside +/-60 d excluded</w:t>
            </w:r>
          </w:p>
        </w:tc>
      </w:tr>
    </w:tbl>
    <w:p>
      <w:r>
        <w:rPr>
          <w:sz w:val="15"/>
        </w:rPr>
        <w:t>CI: Wilson for case-level proportions; for follow-up coverage, SAR and risk ratios, 95% bootstrap CI resampling source cases (2,000 replicates; Wilson / Wald CI in notes).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