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187/13,318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1.32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0.59–2.03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0.33–5.28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0.14–485165195.41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0.17–4.15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13/2,178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0.19–0.92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0.13–2.47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0.45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0.08–264561055.70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0.09–2.30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25/1,156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1.5–3.2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2.03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0.66–3.49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0.49–8.51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0.16–485165195.41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0.23–5.63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2/691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0.04–1.92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0.00–132932743.83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0.02–1.53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2/188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0.3–3.8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111/11,449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0.51–4.37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0.59–2.72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0.23–485165195.41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0.35–2.64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93/3,197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1.3–4.8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2.4–3.6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3.81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1.16–14.42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1.78–8.20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2.38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0.54–485165195.41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0.86–6.58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4/991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0.1–0.8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0.2–1.0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0.08–2.11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0.16–1.80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0.04–254222945.86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0.13–2.23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14/976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0.6–2.7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0.54–7.40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0.76–4.64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0.30–485165195.41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0.49–5.00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7/918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0.0–1.8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0.4–1.6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85/5,421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0.9–2.4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48/4,729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0.33–1.25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0.46–0.92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0.29–1.50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0.45–0.99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42/4,141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0.36–1.18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0.45–0.93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0.40–1.35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0.48–1.14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21/2,002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0.26–1.39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0.42–1.08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0.28–1.57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0.44–1.29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24/1,045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1.4–3.4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1.5–3.4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0.78–2.75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0.94–2.29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1.91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0.94–3.76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1.13–3.23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9/193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4.7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2.0–7.7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2.5–8.6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2.97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1.18–6.14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1.52–5.82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3.71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1.32–8.20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1.75–7.87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162/11,571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1.2–1.6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27/3,060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0.32–1.12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0.42–0.95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0.40–2.52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0.54–1.68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32/1,574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1.2–3.1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1.4–2.9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0.78–2.66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1.00–2.11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0.85–3.84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1.09–2.72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5/1,090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0.2–1.1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0.08–0.66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0.13–0.80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0.09–0.80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0.15–0.96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3/226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0.0–5.6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0.5–3.8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0.00–4.07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0.30–2.95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0.00–10.55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0.38–4.13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0.0–6.6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0.5–5.8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1.81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0.00–7.57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0.45–7.34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1.29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0.00–6.41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0.30–5.56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89/2,544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1.6–6.1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2.9–4.3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3.83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1.63–7.66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2.73–5.37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3.33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1.55–7.71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2.18–5.07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15/2,065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0.35–1.62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0.45–1.41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0.29–1.94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0.40–1.40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53/4,862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0.70–2.07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0.82–1.75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0.54–2.37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0.71–1.68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52/5,692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18/2,247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0.88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0.43–1.64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0.51–1.50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0.42–1.97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0.53–1.64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162/10,929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67/6,602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0.40–1.16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0.52–0.91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0.47–1.44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0.60–1.12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31/946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2.1–4.6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2.3–4.6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2.42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1.33–4.60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1.63–3.60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48/3,775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0.94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0.49–1.79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0.67–1.32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103/7,616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0.8–2.1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47/5,194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0.25–1.55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0.47–0.94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17,531 source–contact pairs (contacts of confirmed/probable source cases whose first follow-up was on or before 7 Oct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