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09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8.8% (8.2-9.4)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717/8,145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(0.4-0.7)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45/8,145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24.2% (20.2-28.2)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2,532/10,484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23.3-25.0)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2.0% (1.4-2.8)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179/8,911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1.7-2.3)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2.4% (61/2,493)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2.80 (1.32-5.98)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6.9% (7/102)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1.59 (0.99-2.55)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3.9% (23/591)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0.66 (0.40-1.10)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1.6% (19/1,175)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0.57 (0.36-0.88)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1.4% (28/2,018)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0.66 (0.45-0.98)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1.6% (41/2,532)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10.4 (8.2-13.2)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43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8.6 (6.5-11.0)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7.5 (5.5-10.9)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24.9 (19.4-34.2)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1.923 (1.080-3.210); rate 0.184 (0.101-0.320)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15.7 (12.4-20.2)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49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13.3 (10.0-17.1)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12.7 (10.1-17.3)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40.0 (32.2-53.0)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2.895 (1.932-4.160); rate 0.134 (0.082-0.199)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692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0-5); 140 negative (follow-up dated before notification); 13 outside +/-60 d excluded</w:t>
            </w:r>
          </w:p>
        </w:tc>
      </w:tr>
    </w:tbl>
    <w:p>
      <w:r>
        <w:rPr>
          <w:sz w:val="15"/>
        </w:rPr>
        <w:t>CI: Wilson for case-level proportions; for follow-up coverage and SAR, 95% bootstrap CI resampling source cases. Risk ratios: log-normal (Wald) CI.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