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CCA0" w14:textId="77777777" w:rsidR="00AD2EF1" w:rsidRPr="00AD2EF1" w:rsidRDefault="00AD2EF1" w:rsidP="00D31C95">
      <w:pPr>
        <w:pStyle w:val="Heading1"/>
        <w:rPr>
          <w:rFonts w:eastAsia="Times New Roman"/>
        </w:rPr>
      </w:pPr>
      <w:r w:rsidRPr="00AD2EF1">
        <w:rPr>
          <w:rFonts w:eastAsia="Times New Roman"/>
        </w:rPr>
        <w:t>Contributors</w:t>
      </w:r>
    </w:p>
    <w:p w14:paraId="3341F97B" w14:textId="0C98BA3A" w:rsidR="00AD2EF1" w:rsidRPr="00AD2EF1" w:rsidRDefault="00816937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This work is led by the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Institut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National de Santé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Publique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(INSP) (Pierre Akilimali, Adelard Lofungola)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and </w:t>
      </w:r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Institut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National de Recherche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Biomédicale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(INRB) Kinshasa/One Health Institute for Africa (INOHA) Kinshasa (Dav Ebengo, Placide Mbala-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Kingebeni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Tania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Bishola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in collaboration with the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AfricaCDC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partners across the University of Oxford and Northeastern University; please contact dav.ebengo@umie-inrb.org or pierre.akilimali@insp.cd for further information.</w:t>
      </w:r>
      <w:r w:rsidR="00090CC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="00090CC4" w:rsidRPr="00090CC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Please note that the epidemiological data presented here is based on work in progress and should be considered preliminary. Our analyses are ongoing, and a publication communicating our findings is in preparation. Contextual data are publicly accessible; please refer to the original license when re-using these data. If you intend to use the epidemiological data prior to our publication, or have other enquiries, please contact</w:t>
      </w:r>
      <w:r w:rsidR="00090CC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one of the individuals referenced above. </w:t>
      </w:r>
    </w:p>
    <w:p w14:paraId="050CB7FB" w14:textId="77777777" w:rsidR="00AD2EF1" w:rsidRPr="00AD2EF1" w:rsidRDefault="00AD2EF1" w:rsidP="00D31C95">
      <w:pPr>
        <w:pStyle w:val="Heading2"/>
        <w:rPr>
          <w:rFonts w:eastAsia="Times New Roman"/>
        </w:rPr>
      </w:pPr>
      <w:r w:rsidRPr="00AD2EF1">
        <w:rPr>
          <w:rFonts w:eastAsia="Times New Roman"/>
        </w:rPr>
        <w:t>Data</w:t>
      </w:r>
    </w:p>
    <w:p w14:paraId="53FAD8EC" w14:textId="78E664DA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The dashboard was built </w:t>
      </w:r>
      <w:r w:rsidR="00560C7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predominantly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using open-access, publicly available data</w:t>
      </w:r>
      <w:r w:rsidR="00560C7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and some private </w:t>
      </w:r>
      <w:proofErr w:type="spellStart"/>
      <w:r w:rsidR="00560C7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linelist</w:t>
      </w:r>
      <w:proofErr w:type="spellEnd"/>
      <w:r w:rsidR="00560C7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data hosted by the INRB.</w:t>
      </w:r>
    </w:p>
    <w:p w14:paraId="5960AD2D" w14:textId="77777777" w:rsidR="00AD2EF1" w:rsidRPr="00D31C95" w:rsidRDefault="00AD2EF1" w:rsidP="00D31C95">
      <w:pPr>
        <w:pStyle w:val="Heading3"/>
        <w:rPr>
          <w:rFonts w:eastAsia="Times New Roman"/>
        </w:rPr>
      </w:pPr>
      <w:r w:rsidRPr="00D31C95">
        <w:rPr>
          <w:rFonts w:eastAsia="Times New Roman"/>
        </w:rPr>
        <w:t>Data sources</w:t>
      </w:r>
    </w:p>
    <w:p w14:paraId="676FF408" w14:textId="2A28E63E" w:rsidR="00560C70" w:rsidRDefault="00AD2EF1" w:rsidP="00AD2EF1">
      <w:pPr>
        <w:spacing w:after="200" w:line="240" w:lineRule="auto"/>
      </w:pPr>
      <w:r w:rsidRPr="00D31C95">
        <w:rPr>
          <w:rStyle w:val="Heading4Char"/>
        </w:rPr>
        <w:t>Data:</w:t>
      </w:r>
      <w:r w:rsidR="006D2CF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hyperlink r:id="rId4" w:history="1">
        <w:r w:rsidR="00560C70" w:rsidRPr="0021324B">
          <w:rPr>
            <w:rStyle w:val="Hyperlink"/>
          </w:rPr>
          <w:t>https://github.com/INRB-UMIE/BDBV2026-Data/</w:t>
        </w:r>
      </w:hyperlink>
    </w:p>
    <w:p w14:paraId="793DB1CA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Administrative boundaries are the DRC Ministry of Health zones de santé (519 zones) based on publicly available shape files from the </w:t>
      </w:r>
      <w:hyperlink r:id="rId5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Humanitarian Data Exchange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joined to a separate set of 300-dimensional </w:t>
      </w:r>
      <w:hyperlink r:id="rId6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Population Dynamics Foundation Model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(PDFM) embeddings (520 zones) via DHIS2 codes</w:t>
      </w:r>
      <w:r w:rsidR="00FB2A3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hyperlink r:id="rId7" w:history="1">
        <w:proofErr w:type="spellStart"/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OpenStreatMaps</w:t>
        </w:r>
        <w:proofErr w:type="spellEnd"/>
      </w:hyperlink>
      <w:r w:rsidR="00FB2A3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reference IDs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4EDA7B0F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Per-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region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populations are sums of the </w:t>
      </w:r>
      <w:hyperlink r:id="rId8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GRID3 v4.4 population raster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spatial resolution of 3 </w:t>
      </w:r>
      <w:proofErr w:type="gramStart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arc-seconds</w:t>
      </w:r>
      <w:proofErr w:type="gramEnd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~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100-metre grid cells) within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boundary of each region per the HDX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shapefile. Health-facility counts come from </w:t>
      </w:r>
      <w:hyperlink r:id="rId9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GRID3 COD - Health Facilities v8.0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joined by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DHIS2 codes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Refugee/IDP site locations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were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pulled from </w:t>
      </w:r>
      <w:hyperlink r:id="rId10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OpenStreetMap</w:t>
        </w:r>
      </w:hyperlink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via Overpass.</w:t>
      </w:r>
    </w:p>
    <w:p w14:paraId="2EAFBED9" w14:textId="730F664F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Pairwise driving travel times are obtained from the public </w:t>
      </w:r>
      <w:hyperlink r:id="rId11" w:history="1">
        <w:r w:rsidRPr="00E620A4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OSRM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service</w:t>
      </w:r>
      <w:r w:rsidR="006476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Pairwise great-circle (haversine) distances are computed directly from the health zone centroids. </w:t>
      </w:r>
      <w:r w:rsidR="00BB34C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PCR testing capacity data was made available by </w:t>
      </w:r>
      <w:hyperlink r:id="rId12" w:history="1">
        <w:proofErr w:type="spellStart"/>
        <w:r w:rsidR="00BB34CA" w:rsidRPr="00BB34CA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AfricaCDC</w:t>
        </w:r>
        <w:proofErr w:type="spellEnd"/>
      </w:hyperlink>
      <w:r w:rsidR="00BB34C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Outbreak counts (suspected/confirmed cases and deaths) are extracted from the </w:t>
      </w:r>
      <w:r w:rsidR="00E620A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latest </w:t>
      </w:r>
      <w:hyperlink r:id="rId13" w:history="1">
        <w:r w:rsidR="00E620A4" w:rsidRPr="00F676E2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INSP sit</w:t>
        </w:r>
        <w:r w:rsidR="00840335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 xml:space="preserve"> r</w:t>
        </w:r>
        <w:r w:rsidR="00E620A4" w:rsidRPr="00F676E2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ep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r w:rsidR="00BB34C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</w:p>
    <w:p w14:paraId="273960DA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F4552C0" w14:textId="77777777" w:rsidR="00AD2EF1" w:rsidRPr="00D31C95" w:rsidRDefault="00AD2EF1" w:rsidP="00D31C95">
      <w:pPr>
        <w:pStyle w:val="Heading2"/>
        <w:rPr>
          <w:rFonts w:eastAsia="Times New Roman"/>
        </w:rPr>
      </w:pPr>
      <w:r w:rsidRPr="00D31C95">
        <w:rPr>
          <w:rFonts w:eastAsia="Times New Roman"/>
        </w:rPr>
        <w:t>Methods</w:t>
      </w:r>
    </w:p>
    <w:p w14:paraId="01847B80" w14:textId="77777777" w:rsidR="00AD2EF1" w:rsidRDefault="00AD2EF1" w:rsidP="00D31C95">
      <w:pPr>
        <w:pStyle w:val="Heading3"/>
        <w:rPr>
          <w:rFonts w:eastAsia="Times New Roman"/>
        </w:rPr>
      </w:pPr>
      <w:r w:rsidRPr="00AD2EF1">
        <w:rPr>
          <w:rFonts w:eastAsia="Times New Roman"/>
        </w:rPr>
        <w:t>Risk assessment via stochastic metapopulation SEIR modeling</w:t>
      </w:r>
    </w:p>
    <w:p w14:paraId="62CC075B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We implemented a discrete-time tau-leap Susceptible Exposed Infectious Removed (SEIR) metapopulation model that allows for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overdispersed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transmission. We partitioned DRC into 519 health zones. Each 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treated as its own well-mixed sub-population with a fixed total 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population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(from GRID3 v4.4) and its own per-zone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compartments. Zones interact through a mobility kernel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The state evolves in discrete daily time steps. At each step, every susceptible in 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has a probability 1 −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exp(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λ_i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Δt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of becoming exposed, with the per-zone force of infection</w:t>
      </w:r>
    </w:p>
    <w:p w14:paraId="4843122A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   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λ_i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ε)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ε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Σ_j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</w:t>
      </w:r>
    </w:p>
    <w:p w14:paraId="501CA282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where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the summed per-individual transmission rate over all infectious cohorts currently in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and a mixing parameter ε </w:t>
      </w:r>
      <w:r w:rsidRPr="00A41A68">
        <w:rPr>
          <w:rFonts w:ascii="Cambria Math" w:eastAsia="Times New Roman" w:hAnsi="Cambria Math" w:cs="Cambria Math"/>
          <w:color w:val="000000"/>
          <w:kern w:val="0"/>
          <w14:ligatures w14:val="none"/>
        </w:rPr>
        <w:t>∈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[0, 1] sets the fraction of contacts drawn from outside the zone. Individuals exit the latent period (E→I) following a gamma-distribution with mean 10 days and shape parameter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2 (coefficient of variation ≈ 0.71). We implement the gamma distribution by splitting E into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sequential exponential sub-stages each with rate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n_E·σ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where σ = 1/(10 days), such that the total time governing the E→I transition is Erlang(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n_E·σ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~ Gamma(shape=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mean=10 d). The infectious period (I→R) is assumed to be exponential with a mean of 7 days.</w:t>
      </w:r>
    </w:p>
    <w:p w14:paraId="7593397A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Overdispersion is implemented at the individual level such that rate β_j is drawn from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k, R0/(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k·D_inf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)) when a transition happens from E→I. The result is that the per-individual distribution of secondary infections is roughly </w:t>
      </w:r>
      <w:proofErr w:type="spellStart"/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NegBinom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R0, k). Individuals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entering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 in the same time step are tracked as a cohort, and recoveries split the cohort's transmission rate exactly via the Beta thinning identity Gamma(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a+b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→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Beta(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a, b)-fraction.</w:t>
      </w:r>
    </w:p>
    <w:p w14:paraId="2C10FEDF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Between-zone coupling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a row-normalized convex combination of three independently constructed components. Each component is a normalized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origin→destination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matrix. The three components are a long-range gravity model, short-range gravity model, and empirical flow model. We use driving times to calibrate the gravity models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Flowminder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data for empirical flows and combine them such that  </w:t>
      </w:r>
    </w:p>
    <w:p w14:paraId="230E8D1A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M_long_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M_short_ij</w:t>
      </w:r>
      <w:proofErr w:type="spellEnd"/>
    </w:p>
    <w:p w14:paraId="0047DAFE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if row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has empirical outflow:</w:t>
      </w:r>
    </w:p>
    <w:p w14:paraId="5FA8ECC2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M_emp_ij</w:t>
      </w:r>
      <w:proofErr w:type="spellEnd"/>
    </w:p>
    <w:p w14:paraId="6E8FA7F1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else:</w:t>
      </w:r>
    </w:p>
    <w:p w14:paraId="182AAC22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;</w:t>
      </w:r>
    </w:p>
    <w:p w14:paraId="381A5743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where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M_long_ij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^α  ·  exp(−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scale_long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),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M_short_ij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·  exp(−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), α is the gravity model exponent,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scale_long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are normalization factors,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M_emp_ij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are the empirical movements,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 weighting factor,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the pairwise distance,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the destination population.</w:t>
      </w:r>
    </w:p>
    <w:p w14:paraId="10495041" w14:textId="0D78072A" w:rsidR="000A4A7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We consider </w:t>
      </w:r>
      <w:r w:rsidR="005003A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 range of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different initial conditions. From each set of initial conditions, an outbreak is simulated forward to the date of the latest situation report. We compute the per-zone reporting rate such that the observed case fatality rate is 30%. We run a grid search over R0 × k × ε ×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emp_w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Each combination is run 1,000 times via stochastic simulation. Scoring is log-RMSE between the observed and reporting-rate-scaled simulated case counts. We pool across 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initial conditions and parameters using Approximate Bayesian Computation to identify an overall most-favored scenario and calculate credible intervals.</w:t>
      </w:r>
    </w:p>
    <w:sectPr w:rsidR="000A4A78" w:rsidRPr="00A41A68" w:rsidSect="004B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328"/>
    <w:rsid w:val="00090CC4"/>
    <w:rsid w:val="000A4A78"/>
    <w:rsid w:val="00175F62"/>
    <w:rsid w:val="004B4B6A"/>
    <w:rsid w:val="004F4AB8"/>
    <w:rsid w:val="005003AD"/>
    <w:rsid w:val="005371A2"/>
    <w:rsid w:val="00560C70"/>
    <w:rsid w:val="005D65D0"/>
    <w:rsid w:val="0064764C"/>
    <w:rsid w:val="00665CF3"/>
    <w:rsid w:val="006A2CA2"/>
    <w:rsid w:val="006D2CF8"/>
    <w:rsid w:val="00704BE3"/>
    <w:rsid w:val="007D7AD5"/>
    <w:rsid w:val="007E572B"/>
    <w:rsid w:val="007F4C2C"/>
    <w:rsid w:val="00816937"/>
    <w:rsid w:val="00840335"/>
    <w:rsid w:val="00A41A68"/>
    <w:rsid w:val="00AD2EF1"/>
    <w:rsid w:val="00BB34CA"/>
    <w:rsid w:val="00D11590"/>
    <w:rsid w:val="00D31C95"/>
    <w:rsid w:val="00D373D1"/>
    <w:rsid w:val="00E620A4"/>
    <w:rsid w:val="00E62361"/>
    <w:rsid w:val="00EB3328"/>
    <w:rsid w:val="00EC09EE"/>
    <w:rsid w:val="00F676E2"/>
    <w:rsid w:val="00FB2A30"/>
    <w:rsid w:val="00FC6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244610"/>
  <w15:chartTrackingRefBased/>
  <w15:docId w15:val="{FCDE0C11-85AA-804D-A8BA-000FF69E8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3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3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3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3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B33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3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3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3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3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3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3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3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3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33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3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3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332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B3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EB3328"/>
  </w:style>
  <w:style w:type="character" w:styleId="Hyperlink">
    <w:name w:val="Hyperlink"/>
    <w:basedOn w:val="DefaultParagraphFont"/>
    <w:uiPriority w:val="99"/>
    <w:unhideWhenUsed/>
    <w:rsid w:val="00AD2E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2EF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1693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.grid3.org/maps/a3db539c0fae4c05aed92ed67e11fe2b/about" TargetMode="External"/><Relationship Id="rId13" Type="http://schemas.openxmlformats.org/officeDocument/2006/relationships/hyperlink" Target="https://insp.cd/ebola-17eme-epidemie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openstreetmap.org/" TargetMode="External"/><Relationship Id="rId12" Type="http://schemas.openxmlformats.org/officeDocument/2006/relationships/hyperlink" Target="https://au.int/fr/africacdc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research.google/blog/insights-into-population-dynamics-a-foundation-model-for-geospatial-inference/" TargetMode="External"/><Relationship Id="rId11" Type="http://schemas.openxmlformats.org/officeDocument/2006/relationships/hyperlink" Target="https://project-osrm.org/" TargetMode="External"/><Relationship Id="rId5" Type="http://schemas.openxmlformats.org/officeDocument/2006/relationships/hyperlink" Target="https://data.humdata.org/dataset/drc-health-data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iki.openstreetmap.org/wiki/Refugee/Displaced_Site_Mapping" TargetMode="External"/><Relationship Id="rId4" Type="http://schemas.openxmlformats.org/officeDocument/2006/relationships/hyperlink" Target="https://github.com/INRB-UMIE/BDBV2026-Data/" TargetMode="External"/><Relationship Id="rId9" Type="http://schemas.openxmlformats.org/officeDocument/2006/relationships/hyperlink" Target="https://data.grid3.org/datasets/GRID3::grid3-cod-health-facilities-v8-0/abou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929</Words>
  <Characters>5296</Characters>
  <Application>Microsoft Office Word</Application>
  <DocSecurity>0</DocSecurity>
  <Lines>44</Lines>
  <Paragraphs>12</Paragraphs>
  <ScaleCrop>false</ScaleCrop>
  <Company/>
  <LinksUpToDate>false</LinksUpToDate>
  <CharactersWithSpaces>6213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Scarpino</dc:creator>
  <cp:keywords/>
  <dc:description/>
  <cp:lastModifiedBy>Sam Scarpino</cp:lastModifiedBy>
  <cp:revision>19</cp:revision>
  <dcterms:created xsi:type="dcterms:W3CDTF">2026-05-25T14:43:00Z</dcterms:created>
  <dcterms:modified xsi:type="dcterms:W3CDTF">2026-06-04T13:26:00Z</dcterms:modified>
</cp:coreProperties>
</file>