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CCA0" w14:textId="77777777" w:rsidR="00AD2EF1" w:rsidRPr="00AD2EF1" w:rsidRDefault="00AD2EF1" w:rsidP="00D31C95">
      <w:pPr>
        <w:pStyle w:val="Heading1"/>
        <w:rPr>
          <w:rFonts w:eastAsia="Times New Roman"/>
        </w:rPr>
      </w:pPr>
      <w:r w:rsidRPr="00AD2EF1">
        <w:rPr>
          <w:rFonts w:eastAsia="Times New Roman"/>
        </w:rPr>
        <w:t>Contributors</w:t>
      </w:r>
    </w:p>
    <w:p w14:paraId="3341F97B" w14:textId="0DF22E8A" w:rsidR="00AD2EF1" w:rsidRPr="00AD2EF1" w:rsidRDefault="00816937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This work is led by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Santé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Publique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(INSP) (Pierre Akilimali, Adelard Lofungola)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and 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Institut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National de Recherche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Biomédicale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(INRB) Kinshasa/One Health Institute for Africa (INOHA) Kinshasa (Dav Ebengo, Placide Mbala-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Kingebeni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Tania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Bishola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 collaboration with the </w:t>
      </w:r>
      <w:proofErr w:type="spellStart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AfricaCDC</w:t>
      </w:r>
      <w:proofErr w:type="spellEnd"/>
      <w:r w:rsidRPr="0081693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partners across the University of Oxford and Northeastern University; please contact dav.ebengo@umie-inrb.org or pierre.akilimali@insp.cd for further information.</w:t>
      </w:r>
    </w:p>
    <w:p w14:paraId="050CB7FB" w14:textId="77777777" w:rsidR="00AD2EF1" w:rsidRPr="00AD2EF1" w:rsidRDefault="00AD2EF1" w:rsidP="00D31C95">
      <w:pPr>
        <w:pStyle w:val="Heading2"/>
        <w:rPr>
          <w:rFonts w:eastAsia="Times New Roman"/>
        </w:rPr>
      </w:pPr>
      <w:r w:rsidRPr="00AD2EF1">
        <w:rPr>
          <w:rFonts w:eastAsia="Times New Roman"/>
        </w:rPr>
        <w:t>Data</w:t>
      </w:r>
    </w:p>
    <w:p w14:paraId="53FAD8EC" w14:textId="78E664DA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dashboard was built </w:t>
      </w:r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predominantly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using open-access, publicly available data</w:t>
      </w:r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some private </w:t>
      </w:r>
      <w:proofErr w:type="spellStart"/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linelist</w:t>
      </w:r>
      <w:proofErr w:type="spellEnd"/>
      <w:r w:rsidR="00560C7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hosted by the INRB.</w:t>
      </w:r>
    </w:p>
    <w:p w14:paraId="5960AD2D" w14:textId="77777777" w:rsidR="00AD2EF1" w:rsidRPr="00D31C95" w:rsidRDefault="00AD2EF1" w:rsidP="00D31C95">
      <w:pPr>
        <w:pStyle w:val="Heading3"/>
        <w:rPr>
          <w:rFonts w:eastAsia="Times New Roman"/>
        </w:rPr>
      </w:pPr>
      <w:r w:rsidRPr="00D31C95">
        <w:rPr>
          <w:rFonts w:eastAsia="Times New Roman"/>
        </w:rPr>
        <w:t>Data sources</w:t>
      </w:r>
    </w:p>
    <w:p w14:paraId="676FF408" w14:textId="2A28E63E" w:rsidR="00560C70" w:rsidRDefault="00AD2EF1" w:rsidP="00AD2EF1">
      <w:pPr>
        <w:spacing w:after="200" w:line="240" w:lineRule="auto"/>
      </w:pPr>
      <w:r w:rsidRPr="00D31C95">
        <w:rPr>
          <w:rStyle w:val="Heading4Char"/>
        </w:rPr>
        <w:t>Data:</w:t>
      </w:r>
      <w:r w:rsidR="006D2CF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4" w:history="1">
        <w:r w:rsidR="00560C70" w:rsidRPr="0021324B">
          <w:rPr>
            <w:rStyle w:val="Hyperlink"/>
          </w:rPr>
          <w:t>https://github.com/INRB-UMIE/BDBV2026-Data/</w:t>
        </w:r>
      </w:hyperlink>
    </w:p>
    <w:p w14:paraId="793DB1C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Administrative boundaries are the DRC Ministry of Health zones de santé (519 zones) based on publicly available shape files from the </w:t>
      </w:r>
      <w:hyperlink r:id="rId5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Humanitarian Data Exchange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to a separate set of 300-dimensional </w:t>
      </w:r>
      <w:hyperlink r:id="rId6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Population Dynamics Foundation Model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(PDFM) embeddings (520 zones) via DHIS2 codes</w:t>
      </w:r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hyperlink r:id="rId7" w:history="1">
        <w:proofErr w:type="spellStart"/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OpenStreatMaps</w:t>
        </w:r>
        <w:proofErr w:type="spellEnd"/>
      </w:hyperlink>
      <w:r w:rsidR="00FB2A3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reference IDs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4EDA7B0F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Per-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region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populations are sums of the </w:t>
      </w:r>
      <w:hyperlink r:id="rId8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v4.4 population raster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spatial resolution of 3 </w:t>
      </w:r>
      <w:proofErr w:type="gramStart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arc-seconds</w:t>
      </w:r>
      <w:proofErr w:type="gramEnd"/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~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100-metre grid cells) within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boundary of each region per the HDX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shapefile. Health-facility counts come from </w:t>
      </w:r>
      <w:hyperlink r:id="rId9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GRID3 COD - Health Facilities v8.0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joined by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DHIS2 codes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Refugee/IDP site locations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were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pulled from </w:t>
      </w:r>
      <w:hyperlink r:id="rId10" w:history="1">
        <w:r w:rsidRPr="00AD2EF1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OpenStreetMap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via Overpass.</w:t>
      </w:r>
    </w:p>
    <w:p w14:paraId="2EAFBED9" w14:textId="730F664F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driving travel times are obtained from the public </w:t>
      </w:r>
      <w:hyperlink r:id="rId11" w:history="1">
        <w:r w:rsidRPr="00E620A4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OSRM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service</w:t>
      </w:r>
      <w:r w:rsidR="006476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Pairwise great-circle (haversine) distances are computed directly from the health zone centroids. </w:t>
      </w:r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PCR testing capacity data was made available by </w:t>
      </w:r>
      <w:hyperlink r:id="rId12" w:history="1">
        <w:proofErr w:type="spellStart"/>
        <w:r w:rsidR="00BB34CA" w:rsidRPr="00BB34CA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AfricaCDC</w:t>
        </w:r>
        <w:proofErr w:type="spellEnd"/>
      </w:hyperlink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Outbreak counts (suspected/confirmed cases and deaths) are extracted from the </w:t>
      </w:r>
      <w:r w:rsidR="00E620A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latest </w:t>
      </w:r>
      <w:hyperlink r:id="rId13" w:history="1"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INSP sit</w:t>
        </w:r>
        <w:r w:rsidR="00840335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 xml:space="preserve"> r</w:t>
        </w:r>
        <w:r w:rsidR="00E620A4" w:rsidRPr="00F676E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ep</w:t>
        </w:r>
      </w:hyperlink>
      <w:r w:rsidRPr="00AD2EF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="00BB34CA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273960DA" w14:textId="77777777" w:rsidR="00AD2EF1" w:rsidRPr="00AD2EF1" w:rsidRDefault="00AD2EF1" w:rsidP="00AD2EF1">
      <w:pPr>
        <w:spacing w:after="20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4552C0" w14:textId="77777777" w:rsidR="00AD2EF1" w:rsidRPr="00D31C95" w:rsidRDefault="00AD2EF1" w:rsidP="00D31C95">
      <w:pPr>
        <w:pStyle w:val="Heading2"/>
        <w:rPr>
          <w:rFonts w:eastAsia="Times New Roman"/>
        </w:rPr>
      </w:pPr>
      <w:r w:rsidRPr="00D31C95">
        <w:rPr>
          <w:rFonts w:eastAsia="Times New Roman"/>
        </w:rPr>
        <w:t>Methods</w:t>
      </w:r>
    </w:p>
    <w:p w14:paraId="01847B80" w14:textId="77777777" w:rsidR="00AD2EF1" w:rsidRDefault="00AD2EF1" w:rsidP="00D31C95">
      <w:pPr>
        <w:pStyle w:val="Heading3"/>
        <w:rPr>
          <w:rFonts w:eastAsia="Times New Roman"/>
        </w:rPr>
      </w:pPr>
      <w:r w:rsidRPr="00AD2EF1">
        <w:rPr>
          <w:rFonts w:eastAsia="Times New Roman"/>
        </w:rPr>
        <w:t>Risk assessment via stochastic metapopulation SEIR modeling</w:t>
      </w:r>
    </w:p>
    <w:p w14:paraId="62CC075B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implemented a discrete-time tau-leap Susceptible Exposed Infectious Removed (SEIR) metapopulation model that allows for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overdispersed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transmission. We partitioned DRC into 519 health zones. Each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treated as its own well-mixed sub-population with a fixed total population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(from GRID3 v4.4) and its own per-zone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compartments. Zones interact through a mobility kernel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The state evolves in discrete daily time steps. At each step, every susceptible in zone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a probability 1 −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Δt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of becoming exposed, with the per-zone force of infection</w:t>
      </w:r>
    </w:p>
    <w:p w14:paraId="4843122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    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ab/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λ_i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ε)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ε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Σ_j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</w:p>
    <w:p w14:paraId="501CA282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summed per-individual transmission rate over all infectious cohorts currently in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I_i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a mixing parameter ε </w:t>
      </w:r>
      <w:r w:rsidRPr="00A41A68">
        <w:rPr>
          <w:rFonts w:ascii="Cambria Math" w:eastAsia="Times New Roman" w:hAnsi="Cambria Math" w:cs="Cambria Math"/>
          <w:color w:val="000000"/>
          <w:kern w:val="0"/>
          <w14:ligatures w14:val="none"/>
        </w:rPr>
        <w:t>∈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[0, 1] sets the fraction of contacts drawn from outside the zone. Individuals exit the latent period (E→I) following a gamma-distribution with mean 10 days and shape parameter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2 (coefficient of variation ≈ 0.71). We implement the gamma distribution by splitting E into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sequential exponential sub-stages each with rate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where σ = 1/(10 days), such that the total time governing the E→I transition is Erlang(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n_E·σ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 ~ Gamma(shape=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n_E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mean=10 d). The infectious period (I→R) is assumed to be exponential with a mean of 7 days.</w:t>
      </w:r>
    </w:p>
    <w:p w14:paraId="7593397A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Overdispersion is implemented at the individual level such that rate β_j is drawn from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Gamma(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k, R0/(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k·D_inf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)) when a transition happens from E→I. The result is that the per-individual distribution of secondary infections is roughly </w:t>
      </w:r>
      <w:proofErr w:type="spellStart"/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NegBinom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R0, k). Individuals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entering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 in the same time step are tracked as a cohort, and recoveries split the cohort's transmission rate exactly via the Beta thinning identity Gamma(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a+b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→ 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Beta(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a, b)-fraction.</w:t>
      </w:r>
    </w:p>
    <w:p w14:paraId="2C10FEDF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Between-zone coupling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a row-normalized convex combination of three independently constructed components. Each component is a normalized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origin→destination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matrix. The three components are a long-range gravity model, short-range gravity model, and empirical flow model. We use driving times to calibrate the gravity models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Flowminder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data for empirical flows and combine them such that  </w:t>
      </w:r>
    </w:p>
    <w:p w14:paraId="230E8D1A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</w:p>
    <w:p w14:paraId="0047DAFE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if row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has empirical outflow:</w:t>
      </w:r>
    </w:p>
    <w:p w14:paraId="5FA8ECC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(1 −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</w:t>
      </w:r>
      <w:proofErr w:type="gram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+</w:t>
      </w:r>
      <w:proofErr w:type="gram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·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</w:p>
    <w:p w14:paraId="6E8FA7F1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else:</w:t>
      </w:r>
    </w:p>
    <w:p w14:paraId="182AAC22" w14:textId="77777777" w:rsidR="00A41A6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M_gravity_ij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;</w:t>
      </w:r>
    </w:p>
    <w:p w14:paraId="381A5743" w14:textId="77777777" w:rsidR="00A41A68" w:rsidRPr="00A41A68" w:rsidRDefault="00A41A68" w:rsidP="00A41A68">
      <w:pPr>
        <w:spacing w:after="2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where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M_long_ij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^α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 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M_short_ij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=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 ·  exp(−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/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), α is the gravity model exponent,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scale_long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scale_short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normalization factors,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M_emp_ij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are the empirical movements,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w_emp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 weighting factor,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D_ij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the pairwise distance,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N_j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the destination population.</w:t>
      </w:r>
    </w:p>
    <w:p w14:paraId="10495041" w14:textId="0D78072A" w:rsidR="000A4A78" w:rsidRPr="00A41A68" w:rsidRDefault="00A41A68" w:rsidP="00A41A68">
      <w:pPr>
        <w:spacing w:after="20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 consider </w:t>
      </w:r>
      <w:r w:rsidR="005003A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range of</w:t>
      </w:r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different initial conditions. From each set of initial conditions, an outbreak is simulated forward to the date of the latest situation report. We compute the per-zone reporting rate such that the observed case fatality rate is 30%. We run a grid search over R0 × k × ε × and </w:t>
      </w:r>
      <w:proofErr w:type="spellStart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emp_w</w:t>
      </w:r>
      <w:proofErr w:type="spellEnd"/>
      <w:r w:rsidRPr="00A41A6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Each combination is run 1,000 times via stochastic simulation. Scoring is log-RMSE between the observed and reporting-rate-scaled simulated case counts. We pool across initial conditions and parameters using Approximate Bayesian Computation to identify an overall most-favored scenario and calculate credible intervals.</w:t>
      </w:r>
    </w:p>
    <w:sectPr w:rsidR="000A4A78" w:rsidRPr="00A41A68" w:rsidSect="004B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28"/>
    <w:rsid w:val="000A4A78"/>
    <w:rsid w:val="00175F62"/>
    <w:rsid w:val="004B4B6A"/>
    <w:rsid w:val="004F4AB8"/>
    <w:rsid w:val="005003AD"/>
    <w:rsid w:val="005371A2"/>
    <w:rsid w:val="00560C70"/>
    <w:rsid w:val="005D65D0"/>
    <w:rsid w:val="0064764C"/>
    <w:rsid w:val="00665CF3"/>
    <w:rsid w:val="006A2CA2"/>
    <w:rsid w:val="006D2CF8"/>
    <w:rsid w:val="007D7AD5"/>
    <w:rsid w:val="007E572B"/>
    <w:rsid w:val="007F4C2C"/>
    <w:rsid w:val="00816937"/>
    <w:rsid w:val="00840335"/>
    <w:rsid w:val="00A41A68"/>
    <w:rsid w:val="00AD2EF1"/>
    <w:rsid w:val="00BB34CA"/>
    <w:rsid w:val="00D11590"/>
    <w:rsid w:val="00D31C95"/>
    <w:rsid w:val="00D373D1"/>
    <w:rsid w:val="00E620A4"/>
    <w:rsid w:val="00E62361"/>
    <w:rsid w:val="00EB3328"/>
    <w:rsid w:val="00EC09EE"/>
    <w:rsid w:val="00F676E2"/>
    <w:rsid w:val="00FB2A30"/>
    <w:rsid w:val="00FC6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244610"/>
  <w15:chartTrackingRefBased/>
  <w15:docId w15:val="{FCDE0C11-85AA-804D-A8BA-000FF69E8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3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3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B3328"/>
  </w:style>
  <w:style w:type="character" w:styleId="Hyperlink">
    <w:name w:val="Hyperlink"/>
    <w:basedOn w:val="DefaultParagraphFont"/>
    <w:uiPriority w:val="99"/>
    <w:unhideWhenUsed/>
    <w:rsid w:val="00AD2E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2E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69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.grid3.org/maps/a3db539c0fae4c05aed92ed67e11fe2b/about" TargetMode="External"/><Relationship Id="rId13" Type="http://schemas.openxmlformats.org/officeDocument/2006/relationships/hyperlink" Target="https://insp.cd/ebola-17eme-epidemie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openstreetmap.org/" TargetMode="External"/><Relationship Id="rId12" Type="http://schemas.openxmlformats.org/officeDocument/2006/relationships/hyperlink" Target="https://au.int/fr/africacdc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esearch.google/blog/insights-into-population-dynamics-a-foundation-model-for-geospatial-inference/" TargetMode="External"/><Relationship Id="rId11" Type="http://schemas.openxmlformats.org/officeDocument/2006/relationships/hyperlink" Target="https://project-osrm.org/" TargetMode="External"/><Relationship Id="rId5" Type="http://schemas.openxmlformats.org/officeDocument/2006/relationships/hyperlink" Target="https://data.humdata.org/dataset/drc-health-data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iki.openstreetmap.org/wiki/Refugee/Displaced_Site_Mapping" TargetMode="External"/><Relationship Id="rId4" Type="http://schemas.openxmlformats.org/officeDocument/2006/relationships/hyperlink" Target="https://github.com/INRB-UMIE/BDBV2026-Data/" TargetMode="External"/><Relationship Id="rId9" Type="http://schemas.openxmlformats.org/officeDocument/2006/relationships/hyperlink" Target="https://data.grid3.org/datasets/GRID3::grid3-cod-health-facilities-v8-0/abou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858</Words>
  <Characters>4894</Characters>
  <Application>Microsoft Office Word</Application>
  <DocSecurity>0</DocSecurity>
  <Lines>40</Lines>
  <Paragraphs>11</Paragraphs>
  <ScaleCrop>false</ScaleCrop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Scarpino</dc:creator>
  <cp:keywords/>
  <dc:description/>
  <cp:lastModifiedBy>Ciara Judge</cp:lastModifiedBy>
  <cp:revision>18</cp:revision>
  <dcterms:created xsi:type="dcterms:W3CDTF">2026-05-25T14:43:00Z</dcterms:created>
  <dcterms:modified xsi:type="dcterms:W3CDTF">2026-06-03T15:36:00Z</dcterms:modified>
</cp:coreProperties>
</file>