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60" w:before="280" w:line="288" w:lineRule="auto"/>
        <w:rPr>
          <w:rFonts w:ascii="Roboto" w:cs="Roboto" w:eastAsia="Roboto" w:hAnsi="Roboto"/>
          <w:color w:val="9b7d4e"/>
          <w:sz w:val="23"/>
          <w:szCs w:val="23"/>
        </w:rPr>
      </w:pPr>
      <w:bookmarkStart w:colFirst="0" w:colLast="0" w:name="_1pmic9m3gitx" w:id="0"/>
      <w:bookmarkEnd w:id="0"/>
      <w:r w:rsidDel="00000000" w:rsidR="00000000" w:rsidRPr="00000000">
        <w:rPr>
          <w:rFonts w:ascii="Roboto" w:cs="Roboto" w:eastAsia="Roboto" w:hAnsi="Roboto"/>
          <w:color w:val="9b7d4e"/>
          <w:sz w:val="23"/>
          <w:szCs w:val="23"/>
          <w:rtl w:val="0"/>
        </w:rPr>
        <w:t xml:space="preserve">Contributors</w:t>
      </w:r>
    </w:p>
    <w:p w:rsidR="00000000" w:rsidDel="00000000" w:rsidP="00000000" w:rsidRDefault="00000000" w:rsidRPr="00000000" w14:paraId="00000002">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This</w:t>
      </w:r>
      <w:r w:rsidDel="00000000" w:rsidR="00000000" w:rsidRPr="00000000">
        <w:rPr>
          <w:rFonts w:ascii="Roboto" w:cs="Roboto" w:eastAsia="Roboto" w:hAnsi="Roboto"/>
          <w:color w:val="2a2a27"/>
          <w:sz w:val="21"/>
          <w:szCs w:val="21"/>
          <w:rtl w:val="0"/>
        </w:rPr>
        <w:t xml:space="preserve"> work is led by the Institut National de Santé Publique (INSP) (Pierre Akilimali, Adelard Lofungola) and the Institut National de Recherche Biomédicale (INRB) Kinshasa/One Health Institute for Africa (INOHA) Kinshasa (Dav Ebengo, Placide Mbala-Kingebeni and Tania Bishola) in collaboration with the AfricaCDC and partners across the University of Oxford, University of Edinburgh, and Northeastern University; please contact </w:t>
      </w:r>
      <w:r w:rsidDel="00000000" w:rsidR="00000000" w:rsidRPr="00000000">
        <w:rPr>
          <w:rFonts w:ascii="Roboto" w:cs="Roboto" w:eastAsia="Roboto" w:hAnsi="Roboto"/>
          <w:color w:val="7c4a12"/>
          <w:sz w:val="21"/>
          <w:szCs w:val="21"/>
          <w:u w:val="single"/>
          <w:rtl w:val="0"/>
        </w:rPr>
        <w:t xml:space="preserve">dav.ebengo@umie-inrb.org</w:t>
      </w:r>
      <w:r w:rsidDel="00000000" w:rsidR="00000000" w:rsidRPr="00000000">
        <w:rPr>
          <w:rFonts w:ascii="Roboto" w:cs="Roboto" w:eastAsia="Roboto" w:hAnsi="Roboto"/>
          <w:color w:val="2a2a27"/>
          <w:sz w:val="21"/>
          <w:szCs w:val="21"/>
          <w:rtl w:val="0"/>
        </w:rPr>
        <w:t xml:space="preserve"> or </w:t>
      </w:r>
      <w:r w:rsidDel="00000000" w:rsidR="00000000" w:rsidRPr="00000000">
        <w:rPr>
          <w:rFonts w:ascii="Roboto" w:cs="Roboto" w:eastAsia="Roboto" w:hAnsi="Roboto"/>
          <w:color w:val="7c4a12"/>
          <w:sz w:val="21"/>
          <w:szCs w:val="21"/>
          <w:u w:val="single"/>
          <w:rtl w:val="0"/>
        </w:rPr>
        <w:t xml:space="preserve">pierre.akilimali@insp.cd</w:t>
      </w:r>
      <w:r w:rsidDel="00000000" w:rsidR="00000000" w:rsidRPr="00000000">
        <w:rPr>
          <w:rFonts w:ascii="Roboto" w:cs="Roboto" w:eastAsia="Roboto" w:hAnsi="Roboto"/>
          <w:color w:val="2a2a27"/>
          <w:sz w:val="21"/>
          <w:szCs w:val="21"/>
          <w:rtl w:val="0"/>
        </w:rPr>
        <w:t xml:space="preserve"> for further information.</w:t>
      </w:r>
    </w:p>
    <w:p w:rsidR="00000000" w:rsidDel="00000000" w:rsidP="00000000" w:rsidRDefault="00000000" w:rsidRPr="00000000" w14:paraId="00000003">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tjlkdakxt0co" w:id="2"/>
      <w:bookmarkEnd w:id="2"/>
      <w:r w:rsidDel="00000000" w:rsidR="00000000" w:rsidRPr="00000000">
        <w:rPr>
          <w:rFonts w:ascii="Roboto" w:cs="Roboto" w:eastAsia="Roboto" w:hAnsi="Roboto"/>
          <w:color w:val="9b7d4e"/>
          <w:sz w:val="20"/>
          <w:szCs w:val="20"/>
          <w:rtl w:val="0"/>
        </w:rPr>
        <w:t xml:space="preserve">Collaborating institutions and agencies</w:t>
      </w:r>
    </w:p>
    <w:p w:rsidR="00000000" w:rsidDel="00000000" w:rsidP="00000000" w:rsidRDefault="00000000" w:rsidRPr="00000000" w14:paraId="00000004">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Institut National de Santé Publique (INSP)</w:t>
      </w:r>
    </w:p>
    <w:p w:rsidR="00000000" w:rsidDel="00000000" w:rsidP="00000000" w:rsidRDefault="00000000" w:rsidRPr="00000000" w14:paraId="00000005">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National Institute of Biomedical Research (INRB)</w:t>
      </w:r>
    </w:p>
    <w:p w:rsidR="00000000" w:rsidDel="00000000" w:rsidP="00000000" w:rsidRDefault="00000000" w:rsidRPr="00000000" w14:paraId="00000006">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Africa Centres for Disease Control and Prevention, Addis Ababa, Ethiopia</w:t>
      </w:r>
    </w:p>
    <w:p w:rsidR="00000000" w:rsidDel="00000000" w:rsidP="00000000" w:rsidRDefault="00000000" w:rsidRPr="00000000" w14:paraId="00000007">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World Health Organization, Geneva, Switzerland</w:t>
      </w:r>
    </w:p>
    <w:p w:rsidR="00000000" w:rsidDel="00000000" w:rsidP="00000000" w:rsidRDefault="00000000" w:rsidRPr="00000000" w14:paraId="00000008">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World Health Organization Country Office, Kinshasa, Democratic Republic of the Congo</w:t>
      </w:r>
    </w:p>
    <w:p w:rsidR="00000000" w:rsidDel="00000000" w:rsidP="00000000" w:rsidRDefault="00000000" w:rsidRPr="00000000" w14:paraId="00000009">
      <w:pPr>
        <w:keepNext w:val="0"/>
        <w:keepLines w:val="0"/>
        <w:shd w:fill="ffffff" w:val="clear"/>
        <w:spacing w:after="100" w:before="100" w:line="288" w:lineRule="auto"/>
        <w:rPr>
          <w:rFonts w:ascii="Roboto" w:cs="Roboto" w:eastAsia="Roboto" w:hAnsi="Roboto"/>
          <w:color w:val="2a2a27"/>
          <w:sz w:val="21"/>
          <w:szCs w:val="21"/>
        </w:rPr>
      </w:pPr>
      <w:bookmarkStart w:colFirst="0" w:colLast="0" w:name="_9dlktsutihlr" w:id="3"/>
      <w:bookmarkEnd w:id="3"/>
      <w:r w:rsidDel="00000000" w:rsidR="00000000" w:rsidRPr="00000000">
        <w:rPr>
          <w:rFonts w:ascii="Roboto" w:cs="Roboto" w:eastAsia="Roboto" w:hAnsi="Roboto"/>
          <w:color w:val="2a2a27"/>
          <w:sz w:val="21"/>
          <w:szCs w:val="21"/>
          <w:rtl w:val="0"/>
        </w:rPr>
        <w:t xml:space="preserve">• University of Montpellier, France</w:t>
      </w:r>
    </w:p>
    <w:p w:rsidR="00000000" w:rsidDel="00000000" w:rsidP="00000000" w:rsidRDefault="00000000" w:rsidRPr="00000000" w14:paraId="0000000A">
      <w:pPr>
        <w:keepNext w:val="0"/>
        <w:keepLines w:val="0"/>
        <w:shd w:fill="ffffff" w:val="clear"/>
        <w:spacing w:after="100" w:before="100" w:line="288" w:lineRule="auto"/>
        <w:rPr>
          <w:rFonts w:ascii="Roboto" w:cs="Roboto" w:eastAsia="Roboto" w:hAnsi="Roboto"/>
          <w:color w:val="2a2a27"/>
          <w:sz w:val="21"/>
          <w:szCs w:val="21"/>
        </w:rPr>
      </w:pPr>
      <w:bookmarkStart w:colFirst="0" w:colLast="0" w:name="_i8jiwsswmr8n" w:id="4"/>
      <w:bookmarkEnd w:id="4"/>
      <w:r w:rsidDel="00000000" w:rsidR="00000000" w:rsidRPr="00000000">
        <w:rPr>
          <w:rFonts w:ascii="Roboto" w:cs="Roboto" w:eastAsia="Roboto" w:hAnsi="Roboto"/>
          <w:color w:val="2a2a27"/>
          <w:sz w:val="21"/>
          <w:szCs w:val="21"/>
          <w:rtl w:val="0"/>
        </w:rPr>
        <w:t xml:space="preserve">• Institute of Tropical Medicine, Belgium</w:t>
      </w:r>
    </w:p>
    <w:p w:rsidR="00000000" w:rsidDel="00000000" w:rsidP="00000000" w:rsidRDefault="00000000" w:rsidRPr="00000000" w14:paraId="0000000B">
      <w:pPr>
        <w:keepNext w:val="0"/>
        <w:keepLines w:val="0"/>
        <w:shd w:fill="ffffff" w:val="clear"/>
        <w:spacing w:after="100" w:before="100" w:line="288" w:lineRule="auto"/>
        <w:rPr>
          <w:rFonts w:ascii="Roboto" w:cs="Roboto" w:eastAsia="Roboto" w:hAnsi="Roboto"/>
          <w:color w:val="2a2a27"/>
          <w:sz w:val="21"/>
          <w:szCs w:val="21"/>
        </w:rPr>
      </w:pPr>
      <w:bookmarkStart w:colFirst="0" w:colLast="0" w:name="_1x5jhzgiaw4c" w:id="5"/>
      <w:bookmarkEnd w:id="5"/>
      <w:r w:rsidDel="00000000" w:rsidR="00000000" w:rsidRPr="00000000">
        <w:rPr>
          <w:rFonts w:ascii="Roboto" w:cs="Roboto" w:eastAsia="Roboto" w:hAnsi="Roboto"/>
          <w:color w:val="2a2a27"/>
          <w:sz w:val="21"/>
          <w:szCs w:val="21"/>
          <w:rtl w:val="0"/>
        </w:rPr>
        <w:t xml:space="preserve">• University of Manitoba, Canada</w:t>
      </w:r>
    </w:p>
    <w:p w:rsidR="00000000" w:rsidDel="00000000" w:rsidP="00000000" w:rsidRDefault="00000000" w:rsidRPr="00000000" w14:paraId="0000000C">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Northeastern University, United States</w:t>
      </w:r>
    </w:p>
    <w:p w:rsidR="00000000" w:rsidDel="00000000" w:rsidP="00000000" w:rsidRDefault="00000000" w:rsidRPr="00000000" w14:paraId="0000000D">
      <w:pPr>
        <w:keepNext w:val="0"/>
        <w:keepLines w:val="0"/>
        <w:shd w:fill="ffffff" w:val="clear"/>
        <w:spacing w:after="100" w:before="100" w:line="288" w:lineRule="auto"/>
        <w:rPr>
          <w:rFonts w:ascii="Roboto" w:cs="Roboto" w:eastAsia="Roboto" w:hAnsi="Roboto"/>
          <w:color w:val="2a2a27"/>
          <w:sz w:val="21"/>
          <w:szCs w:val="21"/>
        </w:rPr>
      </w:pPr>
      <w:bookmarkStart w:colFirst="0" w:colLast="0" w:name="_vzvls3tmd5w5" w:id="6"/>
      <w:bookmarkEnd w:id="6"/>
      <w:r w:rsidDel="00000000" w:rsidR="00000000" w:rsidRPr="00000000">
        <w:rPr>
          <w:rFonts w:ascii="Roboto" w:cs="Roboto" w:eastAsia="Roboto" w:hAnsi="Roboto"/>
          <w:color w:val="2a2a27"/>
          <w:sz w:val="21"/>
          <w:szCs w:val="21"/>
          <w:rtl w:val="0"/>
        </w:rPr>
        <w:t xml:space="preserve">• University of Edinburgh, United Kingdom</w:t>
      </w:r>
    </w:p>
    <w:p w:rsidR="00000000" w:rsidDel="00000000" w:rsidP="00000000" w:rsidRDefault="00000000" w:rsidRPr="00000000" w14:paraId="0000000E">
      <w:pPr>
        <w:keepNext w:val="0"/>
        <w:keepLines w:val="0"/>
        <w:shd w:fill="ffffff" w:val="clear"/>
        <w:spacing w:after="100" w:before="100" w:line="288" w:lineRule="auto"/>
        <w:rPr/>
      </w:pPr>
      <w:bookmarkStart w:colFirst="0" w:colLast="0" w:name="_kinrnw5ecesz" w:id="7"/>
      <w:bookmarkEnd w:id="7"/>
      <w:r w:rsidDel="00000000" w:rsidR="00000000" w:rsidRPr="00000000">
        <w:rPr>
          <w:rFonts w:ascii="Roboto" w:cs="Roboto" w:eastAsia="Roboto" w:hAnsi="Roboto"/>
          <w:color w:val="2a2a27"/>
          <w:sz w:val="21"/>
          <w:szCs w:val="21"/>
          <w:rtl w:val="0"/>
        </w:rPr>
        <w:t xml:space="preserve">• University of Oxford, United Kingdom</w:t>
      </w:r>
      <w:r w:rsidDel="00000000" w:rsidR="00000000" w:rsidRPr="00000000">
        <w:rPr>
          <w:rtl w:val="0"/>
        </w:rPr>
      </w:r>
    </w:p>
    <w:p w:rsidR="00000000" w:rsidDel="00000000" w:rsidP="00000000" w:rsidRDefault="00000000" w:rsidRPr="00000000" w14:paraId="0000000F">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qs4biwi1v75h" w:id="8"/>
      <w:bookmarkEnd w:id="8"/>
      <w:r w:rsidDel="00000000" w:rsidR="00000000" w:rsidRPr="00000000">
        <w:rPr>
          <w:rFonts w:ascii="Roboto" w:cs="Roboto" w:eastAsia="Roboto" w:hAnsi="Roboto"/>
          <w:color w:val="9b7d4e"/>
          <w:sz w:val="20"/>
          <w:szCs w:val="20"/>
          <w:rtl w:val="0"/>
        </w:rPr>
        <w:t xml:space="preserve">Statement on continuing work and analysis before publication</w:t>
      </w:r>
    </w:p>
    <w:p w:rsidR="00000000" w:rsidDel="00000000" w:rsidP="00000000" w:rsidRDefault="00000000" w:rsidRPr="00000000" w14:paraId="00000010">
      <w:pPr>
        <w:keepNext w:val="0"/>
        <w:keepLines w:val="0"/>
        <w:shd w:fill="ffffff" w:val="clear"/>
        <w:spacing w:after="100" w:before="100" w:line="288" w:lineRule="auto"/>
        <w:rPr>
          <w:rFonts w:ascii="Roboto" w:cs="Roboto" w:eastAsia="Roboto" w:hAnsi="Roboto"/>
          <w:color w:val="2a2a27"/>
          <w:sz w:val="21"/>
          <w:szCs w:val="21"/>
        </w:rPr>
      </w:pPr>
      <w:bookmarkStart w:colFirst="0" w:colLast="0" w:name="_uzyf4w3g6hx2" w:id="9"/>
      <w:bookmarkEnd w:id="9"/>
      <w:r w:rsidDel="00000000" w:rsidR="00000000" w:rsidRPr="00000000">
        <w:rPr>
          <w:rFonts w:ascii="Roboto" w:cs="Roboto" w:eastAsia="Roboto" w:hAnsi="Roboto"/>
          <w:color w:val="2a2a27"/>
          <w:sz w:val="21"/>
          <w:szCs w:val="21"/>
          <w:rtl w:val="0"/>
        </w:rPr>
        <w:t xml:space="preserve">Please note that the epidemiological data presented here are based on work in progress and should be considered preliminary. Our analyses are ongoing, and a publication communicating our findings is in preparation. Contextual data are publicly accessible; please refer to the original license when re-using these data. If you intend to use the epidemiological data prior to our publication, please contact Prof. Placide Mbala-Kingebeni (INRB, DRC), Prof. Dav Ebengo (INRB, DRC), and Prof. Pierre Akilimali (INSP).</w:t>
      </w:r>
    </w:p>
    <w:p w:rsidR="00000000" w:rsidDel="00000000" w:rsidP="00000000" w:rsidRDefault="00000000" w:rsidRPr="00000000" w14:paraId="00000011">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zfyef4fqphkb" w:id="10"/>
      <w:bookmarkEnd w:id="10"/>
      <w:r w:rsidDel="00000000" w:rsidR="00000000" w:rsidRPr="00000000">
        <w:rPr>
          <w:rFonts w:ascii="Roboto" w:cs="Roboto" w:eastAsia="Roboto" w:hAnsi="Roboto"/>
          <w:color w:val="9b7d4e"/>
          <w:sz w:val="20"/>
          <w:szCs w:val="20"/>
          <w:rtl w:val="0"/>
        </w:rPr>
        <w:t xml:space="preserve">Cite</w:t>
      </w:r>
    </w:p>
    <w:p w:rsidR="00000000" w:rsidDel="00000000" w:rsidP="00000000" w:rsidRDefault="00000000" w:rsidRPr="00000000" w14:paraId="00000012">
      <w:pPr>
        <w:shd w:fill="ffffff" w:val="clear"/>
        <w:spacing w:after="240" w:lineRule="auto"/>
        <w:rPr>
          <w:rFonts w:ascii="Roboto" w:cs="Roboto" w:eastAsia="Roboto" w:hAnsi="Roboto"/>
          <w:color w:val="1f2328"/>
          <w:sz w:val="21"/>
          <w:szCs w:val="21"/>
        </w:rPr>
      </w:pPr>
      <w:r w:rsidDel="00000000" w:rsidR="00000000" w:rsidRPr="00000000">
        <w:rPr>
          <w:rFonts w:ascii="Roboto" w:cs="Roboto" w:eastAsia="Roboto" w:hAnsi="Roboto"/>
          <w:color w:val="1f2328"/>
          <w:sz w:val="21"/>
          <w:szCs w:val="21"/>
          <w:rtl w:val="0"/>
        </w:rPr>
        <w:t xml:space="preserve">You can reference this repository by its</w:t>
      </w:r>
      <w:r>
        <w:t xml:space="preserve"> </w:t>
      </w:r>
      <w:hyperlink r:id="rId7">
        <w:r w:rsidDel="00000000" w:rsidR="00000000" w:rsidRPr="00000000">
          <w:rPr>
            <w:rFonts w:ascii="Roboto" w:cs="Roboto" w:eastAsia="Roboto" w:hAnsi="Roboto"/>
            <w:color w:val="0969da"/>
            <w:sz w:val="21"/>
            <w:szCs w:val="21"/>
            <w:u w:val="single"/>
            <w:rtl w:val="0"/>
          </w:rPr>
          <w:t xml:space="preserve">Zenodo DOI</w:t>
        </w:r>
      </w:hyperlink>
      <w:r w:rsidDel="00000000" w:rsidR="00000000" w:rsidRPr="00000000">
        <w:rPr>
          <w:rFonts w:ascii="Roboto" w:cs="Roboto" w:eastAsia="Roboto" w:hAnsi="Roboto"/>
          <w:color w:val="1f2328"/>
          <w:sz w:val="21"/>
          <w:szCs w:val="21"/>
          <w:rtl w:val="0"/>
        </w:rPr>
        <w:t xml:space="preserve"> and the accompanying publication </w:t>
      </w:r>
      <w:hyperlink r:id="rId8">
        <w:r w:rsidDel="00000000" w:rsidR="00000000" w:rsidRPr="00000000">
          <w:rPr>
            <w:rFonts w:ascii="Roboto" w:cs="Roboto" w:eastAsia="Roboto" w:hAnsi="Roboto"/>
            <w:color w:val="0969da"/>
            <w:sz w:val="21"/>
            <w:szCs w:val="21"/>
            <w:u w:val="single"/>
            <w:rtl w:val="0"/>
          </w:rPr>
          <w:t xml:space="preserve">Lancet Infectious Diseases by Mbulayi et al</w:t>
        </w:r>
      </w:hyperlink>
      <w:r w:rsidDel="00000000" w:rsidR="00000000" w:rsidRPr="00000000">
        <w:rPr>
          <w:rFonts w:ascii="Roboto" w:cs="Roboto" w:eastAsia="Roboto" w:hAnsi="Roboto"/>
          <w:color w:val="1f2328"/>
          <w:sz w:val="21"/>
          <w:szCs w:val="21"/>
          <w:rtl w:val="0"/>
        </w:rPr>
        <w:t xml:space="preserve">. Please cite the original data providers (links below) if any derived data is reused and check the licenses.</w:t>
      </w:r>
    </w:p>
    <w:p w:rsidR="00000000" w:rsidDel="00000000" w:rsidP="00000000" w:rsidRDefault="00000000" w:rsidRPr="00000000" w14:paraId="00000013">
      <w:pPr>
        <w:pStyle w:val="Heading2"/>
        <w:keepNext w:val="0"/>
        <w:keepLines w:val="0"/>
        <w:shd w:fill="ffffff" w:val="clear"/>
        <w:spacing w:after="60" w:before="180" w:line="288" w:lineRule="auto"/>
        <w:rPr>
          <w:rFonts w:ascii="Roboto" w:cs="Roboto" w:eastAsia="Roboto" w:hAnsi="Roboto"/>
          <w:color w:val="9b7d4e"/>
          <w:sz w:val="20"/>
          <w:szCs w:val="20"/>
        </w:rPr>
      </w:pPr>
      <w:bookmarkStart w:colFirst="0" w:colLast="0" w:name="_9jq1byiilch7" w:id="11"/>
      <w:bookmarkEnd w:id="11"/>
      <w:r w:rsidDel="00000000" w:rsidR="00000000" w:rsidRPr="00000000">
        <w:rPr>
          <w:rFonts w:ascii="Roboto" w:cs="Roboto" w:eastAsia="Roboto" w:hAnsi="Roboto"/>
          <w:color w:val="9b7d4e"/>
          <w:sz w:val="20"/>
          <w:szCs w:val="20"/>
          <w:rtl w:val="0"/>
        </w:rPr>
        <w:t xml:space="preserve">Data sources</w:t>
      </w:r>
    </w:p>
    <w:p w:rsidR="00000000" w:rsidDel="00000000" w:rsidP="00000000" w:rsidRDefault="00000000" w:rsidRPr="00000000" w14:paraId="00000014">
      <w:pPr>
        <w:shd w:fill="ffffff" w:val="clear"/>
        <w:spacing w:after="200" w:before="100" w:lineRule="auto"/>
        <w:rPr>
          <w:rFonts w:ascii="Roboto" w:cs="Roboto" w:eastAsia="Roboto" w:hAnsi="Roboto"/>
          <w:b w:val="1"/>
          <w:bCs w:val="1"/>
          <w:color w:val="2a2a27"/>
          <w:sz w:val="19"/>
          <w:szCs w:val="19"/>
        </w:rPr>
      </w:pPr>
      <w:r w:rsidDel="00000000" w:rsidR="00000000" w:rsidRPr="00000000">
        <w:rPr>
          <w:rFonts w:ascii="Roboto" w:cs="Roboto" w:eastAsia="Roboto" w:hAnsi="Roboto"/>
          <w:color w:val="2a2a27"/>
          <w:sz w:val="21"/>
          <w:szCs w:val="21"/>
          <w:rtl w:val="0"/>
        </w:rPr>
        <w:t xml:space="preserve">Public data are available from:</w:t>
      </w:r>
      <w:r>
        <w:t xml:space="preserve"> </w:t>
      </w:r>
      <w:hyperlink r:id="rId10">
        <w:r w:rsidDel="00000000" w:rsidR="00000000" w:rsidRPr="00000000">
          <w:rPr>
            <w:rFonts w:ascii="Roboto" w:cs="Roboto" w:eastAsia="Roboto" w:hAnsi="Roboto"/>
            <w:color w:val="7c4a12"/>
            <w:sz w:val="21"/>
            <w:szCs w:val="21"/>
            <w:u w:val="single"/>
            <w:rtl w:val="0"/>
          </w:rPr>
          <w:t xml:space="preserve">https://github.com/INRB-UMIE/BDBV2026-Data/</w:t>
        </w:r>
      </w:hyperlink>
      <w:r w:rsidDel="00000000" w:rsidR="00000000" w:rsidRPr="00000000">
        <w:rPr>
          <w:rtl w:val="0"/>
        </w:rPr>
      </w:r>
    </w:p>
    <w:p w:rsidR="00000000" w:rsidDel="00000000" w:rsidP="00000000" w:rsidRDefault="00000000" w:rsidRPr="00000000" w14:paraId="00000015">
      <w:pPr>
        <w:numPr>
          <w:ilvl w:val="0"/>
          <w:numId w:val="1"/>
        </w:numPr>
        <w:shd w:fill="ffffff" w:val="clear"/>
        <w:spacing w:after="0" w:afterAutospacing="0" w:before="100" w:lineRule="auto"/>
        <w:ind w:left="720" w:hanging="360"/>
        <w:rPr>
          <w:rFonts w:ascii="Roboto" w:cs="Roboto" w:eastAsia="Roboto" w:hAnsi="Roboto"/>
          <w:sz w:val="21"/>
          <w:szCs w:val="21"/>
          <w:u w:val="none"/>
        </w:rPr>
      </w:pPr>
      <w:r w:rsidDel="00000000" w:rsidR="00000000" w:rsidRPr="00000000">
        <w:rPr>
          <w:rFonts w:ascii="Roboto" w:cs="Roboto" w:eastAsia="Roboto" w:hAnsi="Roboto"/>
          <w:b w:val="1"/>
          <w:bCs w:val="1"/>
          <w:color w:val="2a2a27"/>
          <w:sz w:val="21"/>
          <w:szCs w:val="21"/>
          <w:rtl w:val="0"/>
        </w:rPr>
        <w:t xml:space="preserve">• Geospatial: </w:t>
      </w:r>
      <w:r w:rsidDel="00000000" w:rsidR="00000000" w:rsidRPr="00000000">
        <w:rPr>
          <w:rFonts w:ascii="Roboto" w:cs="Roboto" w:eastAsia="Roboto" w:hAnsi="Roboto"/>
          <w:color w:val="2a2a27"/>
          <w:sz w:val="21"/>
          <w:szCs w:val="21"/>
          <w:rtl w:val="0"/>
        </w:rPr>
        <w:t xml:space="preserve">Administrative boundaries are the DRC Ministry of Health zones de santé (519 zones) based on publicly available shape files from the</w:t>
      </w:r>
      <w:r>
        <w:t xml:space="preserve"> </w:t>
      </w:r>
      <w:hyperlink r:id="rId12">
        <w:r w:rsidDel="00000000" w:rsidR="00000000" w:rsidRPr="00000000">
          <w:rPr>
            <w:rFonts w:ascii="Roboto" w:cs="Roboto" w:eastAsia="Roboto" w:hAnsi="Roboto"/>
            <w:color w:val="1155cc"/>
            <w:sz w:val="21"/>
            <w:szCs w:val="21"/>
            <w:u w:val="single"/>
            <w:rtl w:val="0"/>
          </w:rPr>
          <w:t xml:space="preserve">GRID3 (v8.0)</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16">
      <w:pPr>
        <w:numPr>
          <w:ilvl w:val="0"/>
          <w:numId w:val="1"/>
        </w:numPr>
        <w:shd w:fill="ffffff" w:val="clear"/>
        <w:spacing w:after="0" w:afterAutospacing="0" w:before="0" w:beforeAutospacing="0" w:lineRule="auto"/>
        <w:ind w:left="720" w:hanging="360"/>
        <w:rPr>
          <w:rFonts w:ascii="Roboto" w:cs="Roboto" w:eastAsia="Roboto" w:hAnsi="Roboto"/>
          <w:color w:val="2a2a27"/>
          <w:sz w:val="21"/>
          <w:szCs w:val="21"/>
          <w:u w:val="none"/>
        </w:rPr>
      </w:pPr>
      <w:r w:rsidDel="00000000" w:rsidR="00000000" w:rsidRPr="00000000">
        <w:rPr>
          <w:rFonts w:ascii="Roboto" w:cs="Roboto" w:eastAsia="Roboto" w:hAnsi="Roboto"/>
          <w:b w:val="1"/>
          <w:bCs w:val="1"/>
          <w:color w:val="2a2a27"/>
          <w:sz w:val="21"/>
          <w:szCs w:val="21"/>
          <w:rtl w:val="0"/>
        </w:rPr>
        <w:t xml:space="preserve">• Epidemiological</w:t>
      </w:r>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17">
      <w:pPr>
        <w:numPr>
          <w:ilvl w:val="1"/>
          <w:numId w:val="1"/>
        </w:numPr>
        <w:shd w:fill="ffffff" w:val="clear"/>
        <w:spacing w:after="0" w:afterAutospacing="0" w:before="0" w:beforeAutospacing="0" w:lineRule="auto"/>
        <w:ind w:left="1440" w:hanging="360"/>
        <w:rPr>
          <w:rFonts w:ascii="Roboto" w:cs="Roboto" w:eastAsia="Roboto" w:hAnsi="Roboto"/>
          <w:color w:val="2a2a27"/>
          <w:sz w:val="21"/>
          <w:szCs w:val="21"/>
        </w:rPr>
      </w:pPr>
      <w:r w:rsidDel="00000000" w:rsidR="00000000" w:rsidRPr="00000000">
        <w:rPr>
          <w:rFonts w:ascii="Roboto" w:cs="Roboto" w:eastAsia="Roboto" w:hAnsi="Roboto"/>
          <w:color w:val="2a2a27"/>
          <w:sz w:val="21"/>
          <w:szCs w:val="21"/>
          <w:rtl w:val="0"/>
        </w:rPr>
        <w:t xml:space="preserve">• Cumulative outbreak counts (confirmed cases and deaths) are extracted from the latest</w:t>
      </w:r>
      <w:r>
        <w:t xml:space="preserve"> </w:t>
      </w:r>
      <w:hyperlink r:id="rId14">
        <w:r w:rsidDel="00000000" w:rsidR="00000000" w:rsidRPr="00000000">
          <w:rPr>
            <w:rFonts w:ascii="Roboto" w:cs="Roboto" w:eastAsia="Roboto" w:hAnsi="Roboto"/>
            <w:color w:val="7c4a12"/>
            <w:sz w:val="21"/>
            <w:szCs w:val="21"/>
            <w:u w:val="single"/>
            <w:rtl w:val="0"/>
          </w:rPr>
          <w:t xml:space="preserve">INSP situation report.</w:t>
        </w:r>
      </w:hyperlink>
      <w:r w:rsidDel="00000000" w:rsidR="00000000" w:rsidRPr="00000000">
        <w:rPr>
          <w:rFonts w:ascii="Roboto" w:cs="Roboto" w:eastAsia="Roboto" w:hAnsi="Roboto"/>
          <w:color w:val="2a2a27"/>
          <w:sz w:val="21"/>
          <w:szCs w:val="21"/>
          <w:rtl w:val="0"/>
        </w:rPr>
        <w:t xml:space="preserve"/>
      </w:r>
    </w:p>
    <w:p w:rsidR="00000000" w:rsidDel="00000000" w:rsidP="00000000" w:rsidRDefault="00000000" w:rsidRPr="00000000" w14:paraId="00000018">
      <w:pPr>
        <w:numPr>
          <w:ilvl w:val="1"/>
          <w:numId w:val="1"/>
        </w:numPr>
        <w:shd w:fill="ffffff" w:val="clear"/>
        <w:spacing w:after="0" w:afterAutospacing="0" w:before="0" w:beforeAutospacing="0" w:lineRule="auto"/>
        <w:ind w:left="1440" w:hanging="360"/>
        <w:rPr>
          <w:rFonts w:ascii="Roboto" w:cs="Roboto" w:eastAsia="Roboto" w:hAnsi="Roboto"/>
          <w:color w:val="2a2a27"/>
          <w:sz w:val="21"/>
          <w:szCs w:val="21"/>
        </w:rPr>
      </w:pPr>
      <w:r w:rsidDel="00000000" w:rsidR="00000000" w:rsidRPr="00000000">
        <w:rPr>
          <w:rFonts w:ascii="Roboto" w:cs="Roboto" w:eastAsia="Roboto" w:hAnsi="Roboto"/>
          <w:color w:val="2a2a27"/>
          <w:sz w:val="21"/>
          <w:szCs w:val="21"/>
          <w:rtl w:val="0"/>
        </w:rPr>
        <w:t xml:space="preserve">• Epidemiological time series’ are generated using the DHIS2 linelist.</w:t>
      </w:r>
      <w:r w:rsidDel="00000000" w:rsidR="00000000" w:rsidRPr="00000000">
        <w:rPr>
          <w:rtl w:val="0"/>
        </w:rPr>
      </w:r>
    </w:p>
    <w:p w:rsidR="00000000" w:rsidDel="00000000" w:rsidP="00000000" w:rsidRDefault="00000000" w:rsidRPr="00000000" w14:paraId="00000019">
      <w:pPr>
        <w:numPr>
          <w:ilvl w:val="0"/>
          <w:numId w:val="1"/>
        </w:numPr>
        <w:shd w:fill="ffffff" w:val="clear"/>
        <w:spacing w:after="0" w:afterAutospacing="0" w:before="0" w:beforeAutospacing="0" w:lineRule="auto"/>
        <w:ind w:left="720" w:hanging="360"/>
        <w:rPr>
          <w:rFonts w:ascii="Roboto" w:cs="Roboto" w:eastAsia="Roboto" w:hAnsi="Roboto"/>
          <w:sz w:val="21"/>
          <w:szCs w:val="21"/>
          <w:u w:val="none"/>
        </w:rPr>
      </w:pPr>
      <w:r w:rsidDel="00000000" w:rsidR="00000000" w:rsidRPr="00000000">
        <w:rPr>
          <w:rFonts w:ascii="Roboto" w:cs="Roboto" w:eastAsia="Roboto" w:hAnsi="Roboto"/>
          <w:b w:val="1"/>
          <w:bCs w:val="1"/>
          <w:color w:val="2a2a27"/>
          <w:sz w:val="21"/>
          <w:szCs w:val="21"/>
          <w:rtl w:val="0"/>
        </w:rPr>
        <w:t xml:space="preserve">• Sociodemographic:</w:t>
      </w:r>
      <w:r w:rsidDel="00000000" w:rsidR="00000000" w:rsidRPr="00000000">
        <w:rPr>
          <w:rFonts w:ascii="Roboto" w:cs="Roboto" w:eastAsia="Roboto" w:hAnsi="Roboto"/>
          <w:color w:val="2a2a27"/>
          <w:sz w:val="21"/>
          <w:szCs w:val="21"/>
          <w:rtl w:val="0"/>
        </w:rPr>
        <w:t xml:space="preserve"> </w:t>
      </w:r>
    </w:p>
    <w:p w:rsidR="00000000" w:rsidDel="00000000" w:rsidP="00000000" w:rsidRDefault="00000000" w:rsidRPr="00000000" w14:paraId="0000001A">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Per-region populations are sums of the</w:t>
      </w:r>
      <w:r>
        <w:t xml:space="preserve"> </w:t>
      </w:r>
      <w:hyperlink r:id="rId16">
        <w:r w:rsidDel="00000000" w:rsidR="00000000" w:rsidRPr="00000000">
          <w:rPr>
            <w:rFonts w:ascii="Roboto" w:cs="Roboto" w:eastAsia="Roboto" w:hAnsi="Roboto"/>
            <w:color w:val="1155cc"/>
            <w:sz w:val="21"/>
            <w:szCs w:val="21"/>
            <w:u w:val="single"/>
            <w:rtl w:val="0"/>
          </w:rPr>
          <w:t xml:space="preserve">WorldPop</w:t>
        </w:r>
      </w:hyperlink>
      <w:r w:rsidDel="00000000" w:rsidR="00000000" w:rsidRPr="00000000">
        <w:rPr>
          <w:rFonts w:ascii="Roboto" w:cs="Roboto" w:eastAsia="Roboto" w:hAnsi="Roboto"/>
          <w:color w:val="2a2a27"/>
          <w:sz w:val="21"/>
          <w:szCs w:val="21"/>
          <w:rtl w:val="0"/>
        </w:rPr>
        <w:t xml:space="preserve"> gridded population estimates within the boundary of each region per the shapefile. </w:t>
      </w:r>
    </w:p>
    <w:p w:rsidR="00000000" w:rsidDel="00000000" w:rsidP="00000000" w:rsidRDefault="00000000" w:rsidRPr="00000000" w14:paraId="0000001B">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Health-facility counts come from</w:t>
      </w:r>
      <w:r>
        <w:t xml:space="preserve"> </w:t>
      </w:r>
      <w:hyperlink r:id="rId18">
        <w:r w:rsidDel="00000000" w:rsidR="00000000" w:rsidRPr="00000000">
          <w:rPr>
            <w:rFonts w:ascii="Roboto" w:cs="Roboto" w:eastAsia="Roboto" w:hAnsi="Roboto"/>
            <w:color w:val="7c4a12"/>
            <w:sz w:val="21"/>
            <w:szCs w:val="21"/>
            <w:u w:val="single"/>
            <w:rtl w:val="0"/>
          </w:rPr>
          <w:t xml:space="preserve">GRID3 COD - Health Facilities v8.0</w:t>
        </w:r>
      </w:hyperlink>
      <w:r w:rsidDel="00000000" w:rsidR="00000000" w:rsidRPr="00000000">
        <w:rPr>
          <w:rFonts w:ascii="Roboto" w:cs="Roboto" w:eastAsia="Roboto" w:hAnsi="Roboto"/>
          <w:color w:val="2a2a27"/>
          <w:sz w:val="21"/>
          <w:szCs w:val="21"/>
          <w:rtl w:val="0"/>
        </w:rPr>
        <w:t xml:space="preserve"> and </w:t>
      </w:r>
      <w:hyperlink r:id="rId19">
        <w:r w:rsidDel="00000000" w:rsidR="00000000" w:rsidRPr="00000000">
          <w:rPr>
            <w:rFonts w:ascii="Roboto" w:cs="Roboto" w:eastAsia="Roboto" w:hAnsi="Roboto"/>
            <w:color w:val="1155cc"/>
            <w:sz w:val="21"/>
            <w:szCs w:val="21"/>
            <w:u w:val="single"/>
            <w:rtl w:val="0"/>
          </w:rPr>
          <w:t xml:space="preserve">healthsites.io</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1C">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Refugee/IDP site locations were pulled from</w:t>
      </w:r>
      <w:r>
        <w:t xml:space="preserve"> </w:t>
      </w:r>
      <w:hyperlink r:id="rId21">
        <w:r w:rsidDel="00000000" w:rsidR="00000000" w:rsidRPr="00000000">
          <w:rPr>
            <w:rFonts w:ascii="Roboto" w:cs="Roboto" w:eastAsia="Roboto" w:hAnsi="Roboto"/>
            <w:color w:val="7c4a12"/>
            <w:sz w:val="21"/>
            <w:szCs w:val="21"/>
            <w:u w:val="single"/>
            <w:rtl w:val="0"/>
          </w:rPr>
          <w:t xml:space="preserve">OpenStreetMap</w:t>
        </w:r>
      </w:hyperlink>
      <w:r w:rsidDel="00000000" w:rsidR="00000000" w:rsidRPr="00000000">
        <w:rPr>
          <w:rFonts w:ascii="Roboto" w:cs="Roboto" w:eastAsia="Roboto" w:hAnsi="Roboto"/>
          <w:color w:val="2a2a27"/>
          <w:sz w:val="21"/>
          <w:szCs w:val="21"/>
          <w:rtl w:val="0"/>
        </w:rPr>
        <w:t xml:space="preserve"> via Overpass.</w:t>
      </w:r>
    </w:p>
    <w:p w:rsidR="00000000" w:rsidDel="00000000" w:rsidP="00000000" w:rsidRDefault="00000000" w:rsidRPr="00000000" w14:paraId="0000001D">
      <w:pPr>
        <w:numPr>
          <w:ilvl w:val="1"/>
          <w:numId w:val="1"/>
        </w:numPr>
        <w:shd w:fill="ffffff" w:val="clear"/>
        <w:spacing w:after="0" w:afterAutospacing="0" w:before="0" w:beforeAutospacing="0" w:lineRule="auto"/>
        <w:ind w:left="1440" w:hanging="360"/>
        <w:rPr>
          <w:rFonts w:ascii="Roboto" w:cs="Roboto" w:eastAsia="Roboto" w:hAnsi="Roboto"/>
          <w:color w:val="2a2a27"/>
          <w:sz w:val="21"/>
          <w:szCs w:val="21"/>
        </w:rPr>
      </w:pPr>
      <w:r w:rsidDel="00000000" w:rsidR="00000000" w:rsidRPr="00000000">
        <w:rPr>
          <w:rFonts w:ascii="Roboto" w:cs="Roboto" w:eastAsia="Roboto" w:hAnsi="Roboto"/>
          <w:color w:val="2a2a27"/>
          <w:sz w:val="21"/>
          <w:szCs w:val="21"/>
          <w:rtl w:val="0"/>
        </w:rPr>
        <w:t xml:space="preserve">• Socioeconomic vulnerability is calculated from the </w:t>
      </w:r>
      <w:hyperlink r:id="rId22">
        <w:r w:rsidDel="00000000" w:rsidR="00000000" w:rsidRPr="00000000">
          <w:rPr>
            <w:rFonts w:ascii="Roboto" w:cs="Roboto" w:eastAsia="Roboto" w:hAnsi="Roboto"/>
            <w:color w:val="1155cc"/>
            <w:sz w:val="21"/>
            <w:szCs w:val="21"/>
            <w:u w:val="single"/>
            <w:rtl w:val="0"/>
          </w:rPr>
          <w:t xml:space="preserve">Climate Conflict and Vulnerability Index</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1E">
      <w:pPr>
        <w:numPr>
          <w:ilvl w:val="1"/>
          <w:numId w:val="1"/>
        </w:numPr>
        <w:shd w:fill="ffffff" w:val="clear"/>
        <w:spacing w:after="0" w:afterAutospacing="0" w:before="0" w:beforeAutospacing="0" w:lineRule="auto"/>
        <w:ind w:left="1440" w:hanging="360"/>
        <w:rPr>
          <w:rFonts w:ascii="Roboto" w:cs="Roboto" w:eastAsia="Roboto" w:hAnsi="Roboto"/>
          <w:color w:val="2a2a27"/>
          <w:sz w:val="21"/>
          <w:szCs w:val="21"/>
          <w:u w:val="none"/>
        </w:rPr>
      </w:pPr>
      <w:r w:rsidDel="00000000" w:rsidR="00000000" w:rsidRPr="00000000">
        <w:rPr>
          <w:rFonts w:ascii="Roboto" w:cs="Roboto" w:eastAsia="Roboto" w:hAnsi="Roboto"/>
          <w:color w:val="2a2a27"/>
          <w:sz w:val="21"/>
          <w:szCs w:val="21"/>
          <w:rtl w:val="0"/>
        </w:rPr>
        <w:t xml:space="preserve">• Urban fraction is calculated using FAO Land Cover Classification, obtained from the </w:t>
      </w:r>
      <w:hyperlink r:id="rId23">
        <w:r w:rsidDel="00000000" w:rsidR="00000000" w:rsidRPr="00000000">
          <w:rPr>
            <w:rFonts w:ascii="Roboto" w:cs="Roboto" w:eastAsia="Roboto" w:hAnsi="Roboto"/>
            <w:color w:val="1155cc"/>
            <w:sz w:val="21"/>
            <w:szCs w:val="21"/>
            <w:u w:val="single"/>
            <w:rtl w:val="0"/>
          </w:rPr>
          <w:t xml:space="preserve">Copernicus Climate Data Store</w:t>
        </w:r>
      </w:hyperlink>
      <w:r w:rsidDel="00000000" w:rsidR="00000000" w:rsidRPr="00000000">
        <w:rPr>
          <w:rFonts w:ascii="Roboto" w:cs="Roboto" w:eastAsia="Roboto" w:hAnsi="Roboto"/>
          <w:color w:val="2a2a27"/>
          <w:sz w:val="21"/>
          <w:szCs w:val="21"/>
          <w:rtl w:val="0"/>
        </w:rPr>
        <w:t xml:space="preserve">.</w:t>
      </w:r>
      <w:r w:rsidDel="00000000" w:rsidR="00000000" w:rsidRPr="00000000">
        <w:rPr>
          <w:rtl w:val="0"/>
        </w:rPr>
      </w:r>
    </w:p>
    <w:p w:rsidR="00000000" w:rsidDel="00000000" w:rsidP="00000000" w:rsidRDefault="00000000" w:rsidRPr="00000000" w14:paraId="0000001F">
      <w:pPr>
        <w:numPr>
          <w:ilvl w:val="0"/>
          <w:numId w:val="1"/>
        </w:numPr>
        <w:shd w:fill="ffffff" w:val="clear"/>
        <w:spacing w:after="0" w:afterAutospacing="0" w:before="0" w:beforeAutospacing="0" w:lineRule="auto"/>
        <w:ind w:left="720" w:hanging="360"/>
        <w:rPr>
          <w:rFonts w:ascii="Roboto" w:cs="Roboto" w:eastAsia="Roboto" w:hAnsi="Roboto"/>
          <w:b w:val="1"/>
          <w:bCs w:val="1"/>
          <w:color w:val="2a2a27"/>
          <w:sz w:val="21"/>
          <w:szCs w:val="21"/>
        </w:rPr>
      </w:pPr>
      <w:r w:rsidDel="00000000" w:rsidR="00000000" w:rsidRPr="00000000">
        <w:rPr>
          <w:rFonts w:ascii="Roboto" w:cs="Roboto" w:eastAsia="Roboto" w:hAnsi="Roboto"/>
          <w:b w:val="1"/>
          <w:bCs w:val="1"/>
          <w:color w:val="2a2a27"/>
          <w:sz w:val="21"/>
          <w:szCs w:val="21"/>
          <w:rtl w:val="0"/>
        </w:rPr>
        <w:t xml:space="preserve">• Mobility:</w:t>
      </w:r>
    </w:p>
    <w:p w:rsidR="00000000" w:rsidDel="00000000" w:rsidP="00000000" w:rsidRDefault="00000000" w:rsidRPr="00000000" w14:paraId="00000020">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Pairwise driving travel times and distances are obtained from the public</w:t>
      </w:r>
      <w:r>
        <w:t xml:space="preserve"> </w:t>
      </w:r>
      <w:hyperlink r:id="rId25">
        <w:r w:rsidDel="00000000" w:rsidR="00000000" w:rsidRPr="00000000">
          <w:rPr>
            <w:rFonts w:ascii="Roboto" w:cs="Roboto" w:eastAsia="Roboto" w:hAnsi="Roboto"/>
            <w:color w:val="7c4a12"/>
            <w:sz w:val="21"/>
            <w:szCs w:val="21"/>
            <w:u w:val="single"/>
            <w:rtl w:val="0"/>
          </w:rPr>
          <w:t xml:space="preserve">OSRM</w:t>
        </w:r>
      </w:hyperlink>
      <w:r w:rsidDel="00000000" w:rsidR="00000000" w:rsidRPr="00000000">
        <w:rPr>
          <w:rFonts w:ascii="Roboto" w:cs="Roboto" w:eastAsia="Roboto" w:hAnsi="Roboto"/>
          <w:color w:val="2a2a27"/>
          <w:sz w:val="21"/>
          <w:szCs w:val="21"/>
          <w:rtl w:val="0"/>
        </w:rPr>
        <w:t xml:space="preserve"> service.</w:t>
      </w:r>
    </w:p>
    <w:p w:rsidR="00000000" w:rsidDel="00000000" w:rsidP="00000000" w:rsidRDefault="00000000" w:rsidRPr="00000000" w14:paraId="00000021">
      <w:pPr>
        <w:numPr>
          <w:ilvl w:val="1"/>
          <w:numId w:val="1"/>
        </w:numPr>
        <w:shd w:fill="ffffff" w:val="clear"/>
        <w:spacing w:after="0" w:afterAutospacing="0" w:before="0" w:beforeAutospacing="0" w:lineRule="auto"/>
        <w:ind w:left="1440" w:hanging="360"/>
        <w:rPr>
          <w:rFonts w:ascii="Roboto" w:cs="Roboto" w:eastAsia="Roboto" w:hAnsi="Roboto"/>
          <w:sz w:val="21"/>
          <w:szCs w:val="21"/>
        </w:rPr>
      </w:pPr>
      <w:r w:rsidDel="00000000" w:rsidR="00000000" w:rsidRPr="00000000">
        <w:rPr>
          <w:rFonts w:ascii="Roboto" w:cs="Roboto" w:eastAsia="Roboto" w:hAnsi="Roboto"/>
          <w:color w:val="2a2a27"/>
          <w:sz w:val="21"/>
          <w:szCs w:val="21"/>
          <w:rtl w:val="0"/>
        </w:rPr>
        <w:t xml:space="preserve">• Relocations and short trips (mobility data) are provided by the </w:t>
      </w:r>
      <w:hyperlink r:id="rId26">
        <w:r w:rsidDel="00000000" w:rsidR="00000000" w:rsidRPr="00000000">
          <w:rPr>
            <w:rFonts w:ascii="Roboto" w:cs="Roboto" w:eastAsia="Roboto" w:hAnsi="Roboto"/>
            <w:color w:val="1155cc"/>
            <w:sz w:val="21"/>
            <w:szCs w:val="21"/>
            <w:u w:val="single"/>
            <w:rtl w:val="0"/>
          </w:rPr>
          <w:t xml:space="preserve">Flowminder foundation</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22">
      <w:pPr>
        <w:numPr>
          <w:ilvl w:val="0"/>
          <w:numId w:val="1"/>
        </w:numPr>
        <w:shd w:fill="ffffff" w:val="clear"/>
        <w:spacing w:after="0" w:afterAutospacing="0" w:before="0" w:beforeAutospacing="0" w:lineRule="auto"/>
        <w:ind w:left="720" w:hanging="360"/>
        <w:rPr>
          <w:rFonts w:ascii="Roboto" w:cs="Roboto" w:eastAsia="Roboto" w:hAnsi="Roboto"/>
          <w:color w:val="2a2a27"/>
          <w:sz w:val="21"/>
          <w:szCs w:val="21"/>
          <w:u w:val="none"/>
        </w:rPr>
      </w:pPr>
      <w:r w:rsidDel="00000000" w:rsidR="00000000" w:rsidRPr="00000000">
        <w:rPr>
          <w:rFonts w:ascii="Roboto" w:cs="Roboto" w:eastAsia="Roboto" w:hAnsi="Roboto"/>
          <w:b w:val="1"/>
          <w:bCs w:val="1"/>
          <w:color w:val="2a2a27"/>
          <w:sz w:val="21"/>
          <w:szCs w:val="21"/>
          <w:rtl w:val="0"/>
        </w:rPr>
        <w:t xml:space="preserve">• Genomic:</w:t>
      </w:r>
      <w:r w:rsidDel="00000000" w:rsidR="00000000" w:rsidRPr="00000000">
        <w:rPr>
          <w:rFonts w:ascii="Roboto" w:cs="Roboto" w:eastAsia="Roboto" w:hAnsi="Roboto"/>
          <w:color w:val="2a2a27"/>
          <w:sz w:val="21"/>
          <w:szCs w:val="21"/>
          <w:rtl w:val="0"/>
        </w:rPr>
        <w:t xml:space="preserve"> Genomic data (sequence counts and metadata, phylogenetic tree) is maintained by the INRB in collaboration with the University of Edinburgh and University of Oxford.</w:t>
      </w:r>
      <w:r w:rsidDel="00000000" w:rsidR="00000000" w:rsidRPr="00000000">
        <w:rPr>
          <w:rtl w:val="0"/>
        </w:rPr>
      </w:r>
    </w:p>
    <w:p w:rsidR="00000000" w:rsidDel="00000000" w:rsidP="00000000" w:rsidRDefault="00000000" w:rsidRPr="00000000" w14:paraId="00000023">
      <w:pPr>
        <w:numPr>
          <w:ilvl w:val="0"/>
          <w:numId w:val="1"/>
        </w:numPr>
        <w:shd w:fill="ffffff" w:val="clear"/>
        <w:spacing w:after="0" w:afterAutospacing="0" w:before="0" w:beforeAutospacing="0" w:lineRule="auto"/>
        <w:ind w:left="720" w:hanging="360"/>
        <w:rPr>
          <w:rFonts w:ascii="Roboto" w:cs="Roboto" w:eastAsia="Roboto" w:hAnsi="Roboto"/>
          <w:b w:val="1"/>
          <w:bCs w:val="1"/>
          <w:sz w:val="21"/>
          <w:szCs w:val="21"/>
        </w:rPr>
      </w:pPr>
      <w:r w:rsidDel="00000000" w:rsidR="00000000" w:rsidRPr="00000000">
        <w:rPr>
          <w:rFonts w:ascii="Roboto" w:cs="Roboto" w:eastAsia="Roboto" w:hAnsi="Roboto"/>
          <w:b w:val="1"/>
          <w:bCs w:val="1"/>
          <w:color w:val="2a2a27"/>
          <w:sz w:val="21"/>
          <w:szCs w:val="21"/>
          <w:rtl w:val="0"/>
        </w:rPr>
        <w:t xml:space="preserve">• Public Health Response:</w:t>
      </w:r>
    </w:p>
    <w:p w:rsidR="00000000" w:rsidDel="00000000" w:rsidP="00000000" w:rsidRDefault="00000000" w:rsidRPr="00000000" w14:paraId="00000024">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PCR testing capacity data was made available by</w:t>
      </w:r>
      <w:r>
        <w:t xml:space="preserve"> </w:t>
      </w:r>
      <w:hyperlink r:id="rId28">
        <w:r w:rsidDel="00000000" w:rsidR="00000000" w:rsidRPr="00000000">
          <w:rPr>
            <w:rFonts w:ascii="Roboto" w:cs="Roboto" w:eastAsia="Roboto" w:hAnsi="Roboto"/>
            <w:color w:val="7c4a12"/>
            <w:sz w:val="21"/>
            <w:szCs w:val="21"/>
            <w:u w:val="single"/>
            <w:rtl w:val="0"/>
          </w:rPr>
          <w:t xml:space="preserve">AfricaCDC</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25">
      <w:pPr>
        <w:numPr>
          <w:ilvl w:val="1"/>
          <w:numId w:val="1"/>
        </w:numPr>
        <w:shd w:fill="ffffff" w:val="clear"/>
        <w:spacing w:after="200" w:before="0" w:beforeAutospacing="0" w:lineRule="auto"/>
        <w:ind w:left="1440" w:hanging="360"/>
        <w:rPr>
          <w:rFonts w:ascii="Roboto" w:cs="Roboto" w:eastAsia="Roboto" w:hAnsi="Roboto"/>
          <w:color w:val="2a2a27"/>
          <w:sz w:val="21"/>
          <w:szCs w:val="21"/>
          <w:u w:val="none"/>
        </w:rPr>
      </w:pPr>
      <w:r w:rsidDel="00000000" w:rsidR="00000000" w:rsidRPr="00000000">
        <w:rPr>
          <w:rFonts w:ascii="Roboto" w:cs="Roboto" w:eastAsia="Roboto" w:hAnsi="Roboto"/>
          <w:color w:val="2a2a27"/>
          <w:sz w:val="21"/>
          <w:szCs w:val="21"/>
          <w:rtl w:val="0"/>
        </w:rPr>
        <w:t xml:space="preserve">• Response context is transcribed from prose included in INSP Situation Reports.</w:t>
      </w:r>
      <w:r w:rsidDel="00000000" w:rsidR="00000000" w:rsidRPr="00000000">
        <w:rPr>
          <w:rtl w:val="0"/>
        </w:rPr>
      </w:r>
    </w:p>
    <w:p w:rsidR="00000000" w:rsidDel="00000000" w:rsidP="00000000" w:rsidRDefault="00000000" w:rsidRPr="00000000" w14:paraId="00000026">
      <w:pPr>
        <w:pStyle w:val="Heading2"/>
        <w:keepNext w:val="0"/>
        <w:keepLines w:val="0"/>
        <w:shd w:fill="ffffff" w:val="clear"/>
        <w:spacing w:after="60" w:before="280" w:line="288" w:lineRule="auto"/>
        <w:rPr>
          <w:rFonts w:ascii="Roboto" w:cs="Roboto" w:eastAsia="Roboto" w:hAnsi="Roboto"/>
          <w:color w:val="9b7d4e"/>
          <w:sz w:val="23"/>
          <w:szCs w:val="23"/>
        </w:rPr>
      </w:pPr>
      <w:bookmarkStart w:colFirst="0" w:colLast="0" w:name="_fwkc1sxk0sya" w:id="12"/>
      <w:bookmarkEnd w:id="12"/>
      <w:r w:rsidDel="00000000" w:rsidR="00000000" w:rsidRPr="00000000">
        <w:rPr>
          <w:rFonts w:ascii="Roboto" w:cs="Roboto" w:eastAsia="Roboto" w:hAnsi="Roboto"/>
          <w:color w:val="9b7d4e"/>
          <w:sz w:val="23"/>
          <w:szCs w:val="23"/>
          <w:rtl w:val="0"/>
        </w:rPr>
        <w:t xml:space="preserve">Methods</w:t>
      </w:r>
    </w:p>
    <w:p w:rsidR="00000000" w:rsidDel="00000000" w:rsidP="00000000" w:rsidRDefault="00000000" w:rsidRPr="00000000" w14:paraId="00000027">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w0extgwlrlft" w:id="13"/>
      <w:bookmarkEnd w:id="13"/>
      <w:r w:rsidDel="00000000" w:rsidR="00000000" w:rsidRPr="00000000">
        <w:rPr>
          <w:rFonts w:ascii="Roboto" w:cs="Roboto" w:eastAsia="Roboto" w:hAnsi="Roboto"/>
          <w:color w:val="9b7d4e"/>
          <w:sz w:val="20"/>
          <w:szCs w:val="20"/>
          <w:rtl w:val="0"/>
        </w:rPr>
        <w:t xml:space="preserve">Epidemiological</w:t>
      </w:r>
      <w:r w:rsidDel="00000000" w:rsidR="00000000" w:rsidRPr="00000000">
        <w:rPr>
          <w:rFonts w:ascii="Roboto" w:cs="Roboto" w:eastAsia="Roboto" w:hAnsi="Roboto"/>
          <w:color w:val="9b7d4e"/>
          <w:sz w:val="20"/>
          <w:szCs w:val="20"/>
          <w:rtl w:val="0"/>
        </w:rPr>
        <w:t xml:space="preserve"> data processing and harmonisation</w:t>
      </w:r>
    </w:p>
    <w:p w:rsidR="00000000" w:rsidDel="00000000" w:rsidP="00000000" w:rsidRDefault="00000000" w:rsidRPr="00000000" w14:paraId="00000028">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DHIS2 linelist is securely stored in a private repository to maintain patient confidentiality, with new ‘cuts’ of the data added at regular intervals (approximately every weekday). The data is cleaned and scanned for anomalies, and onset dates are imputed for missing entries using parametric onset-to-reporting delay distributions fitted to records where onset is available. The data is filtered to records with final status ‘confirmed_case’, and cumulative epidemic time series at various spatial scales are generated by grouping records by onset date (displayed in the Epidemiological Trends tab).</w:t>
      </w:r>
    </w:p>
    <w:p w:rsidR="00000000" w:rsidDel="00000000" w:rsidP="00000000" w:rsidRDefault="00000000" w:rsidRPr="00000000" w14:paraId="00000029">
      <w:pPr>
        <w:rPr>
          <w:rFonts w:ascii="Roboto" w:cs="Roboto" w:eastAsia="Roboto" w:hAnsi="Roboto"/>
          <w:sz w:val="21"/>
          <w:szCs w:val="21"/>
        </w:rPr>
      </w:pPr>
      <w:r w:rsidDel="00000000" w:rsidR="00000000" w:rsidRPr="00000000">
        <w:rPr>
          <w:rtl w:val="0"/>
        </w:rPr>
      </w:r>
    </w:p>
    <w:p w:rsidR="00000000" w:rsidDel="00000000" w:rsidP="00000000" w:rsidRDefault="00000000" w:rsidRPr="00000000" w14:paraId="0000002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INSP Situation Reports are an additional source of health-zone level data that often reports confirmed cases in new locations before they enter the linelist. For the active case markers on the dashboard, and the epidemiological input to the spatial risk model, the Situation Reports and health-zone level cumulative cases are harmonised such that each zone always has at least as many confirmed cases as the sitrep reports.</w:t>
      </w:r>
    </w:p>
    <w:p w:rsidR="00000000" w:rsidDel="00000000" w:rsidP="00000000" w:rsidRDefault="00000000" w:rsidRPr="00000000" w14:paraId="0000002B">
      <w:pPr>
        <w:rPr>
          <w:rFonts w:ascii="Roboto" w:cs="Roboto" w:eastAsia="Roboto" w:hAnsi="Roboto"/>
          <w:sz w:val="21"/>
          <w:szCs w:val="21"/>
        </w:rPr>
      </w:pPr>
      <w:r w:rsidDel="00000000" w:rsidR="00000000" w:rsidRPr="00000000">
        <w:rPr>
          <w:rtl w:val="0"/>
        </w:rPr>
      </w:r>
    </w:p>
    <w:p w:rsidR="00000000" w:rsidDel="00000000" w:rsidP="00000000" w:rsidRDefault="00000000" w:rsidRPr="00000000" w14:paraId="0000002C">
      <w:pPr>
        <w:pStyle w:val="Heading3"/>
        <w:rPr>
          <w:rFonts w:ascii="Roboto" w:cs="Roboto" w:eastAsia="Roboto" w:hAnsi="Roboto"/>
          <w:color w:val="9b7d4e"/>
          <w:sz w:val="20"/>
          <w:szCs w:val="20"/>
        </w:rPr>
      </w:pPr>
      <w:r w:rsidDel="00000000" w:rsidR="00000000" w:rsidRPr="00000000">
        <w:rPr>
          <w:rFonts w:ascii="Roboto" w:cs="Roboto" w:eastAsia="Roboto" w:hAnsi="Roboto"/>
          <w:color w:val="9b7d4e"/>
          <w:sz w:val="20"/>
          <w:szCs w:val="20"/>
          <w:rtl w:val="0"/>
        </w:rPr>
        <w:t xml:space="preserve">Dashboard build</w:t>
      </w:r>
    </w:p>
    <w:p w:rsidR="00000000" w:rsidDel="00000000" w:rsidP="00000000" w:rsidRDefault="00000000" w:rsidRPr="00000000" w14:paraId="0000002D">
      <w:pPr>
        <w:rPr/>
      </w:pPr>
      <w:r w:rsidDel="00000000" w:rsidR="00000000" w:rsidRPr="00000000">
        <w:rPr>
          <w:rFonts w:ascii="Roboto" w:cs="Roboto" w:eastAsia="Roboto" w:hAnsi="Roboto"/>
          <w:sz w:val="21"/>
          <w:szCs w:val="21"/>
          <w:rtl w:val="0"/>
        </w:rPr>
        <w:t xml:space="preserve">The dashboard is described in our accompanying publication here: </w:t>
      </w:r>
      <w:hyperlink r:id="rId29">
        <w:r w:rsidDel="00000000" w:rsidR="00000000" w:rsidRPr="00000000">
          <w:rPr>
            <w:rFonts w:ascii="Roboto" w:cs="Roboto" w:eastAsia="Roboto" w:hAnsi="Roboto"/>
            <w:color w:val="1155cc"/>
            <w:sz w:val="21"/>
            <w:szCs w:val="21"/>
            <w:u w:val="single"/>
            <w:rtl w:val="0"/>
          </w:rPr>
          <w:t xml:space="preserve">https://www.thelancet.com/journals/laninf/article/PIIS1473-3099(26)00330-0/fulltext</w:t>
        </w:r>
      </w:hyperlink>
      <w:r w:rsidDel="00000000" w:rsidR="00000000" w:rsidRPr="00000000">
        <w:rPr>
          <w:rFonts w:ascii="Roboto" w:cs="Roboto" w:eastAsia="Roboto" w:hAnsi="Roboto"/>
          <w:sz w:val="21"/>
          <w:szCs w:val="21"/>
          <w:rtl w:val="0"/>
        </w:rPr>
        <w:t xml:space="preserve"> </w:t>
      </w:r>
      <w:r w:rsidDel="00000000" w:rsidR="00000000" w:rsidRPr="00000000">
        <w:rPr>
          <w:rtl w:val="0"/>
        </w:rPr>
      </w:r>
    </w:p>
    <w:p w:rsidR="00000000" w:rsidDel="00000000" w:rsidP="00000000" w:rsidRDefault="00000000" w:rsidRPr="00000000" w14:paraId="0000002E">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7i270ck4qodc" w:id="14"/>
      <w:bookmarkEnd w:id="14"/>
      <w:r w:rsidDel="00000000" w:rsidR="00000000" w:rsidRPr="00000000">
        <w:rPr>
          <w:rFonts w:ascii="Roboto" w:cs="Roboto" w:eastAsia="Roboto" w:hAnsi="Roboto"/>
          <w:color w:val="9b7d4e"/>
          <w:sz w:val="20"/>
          <w:szCs w:val="20"/>
          <w:rtl w:val="0"/>
        </w:rPr>
        <w:t xml:space="preserve">Spatial Risk Modelling </w:t>
      </w:r>
    </w:p>
    <w:p w:rsidR="00000000" w:rsidDel="00000000" w:rsidP="00000000" w:rsidRDefault="00000000" w:rsidRPr="00000000" w14:paraId="0000002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spatial risk model is described in detail here: </w:t>
      </w:r>
      <w:hyperlink r:id="rId30">
        <w:r w:rsidDel="00000000" w:rsidR="00000000" w:rsidRPr="00000000">
          <w:rPr>
            <w:rFonts w:ascii="Roboto" w:cs="Roboto" w:eastAsia="Roboto" w:hAnsi="Roboto"/>
            <w:color w:val="1155cc"/>
            <w:sz w:val="21"/>
            <w:szCs w:val="21"/>
            <w:u w:val="single"/>
            <w:rtl w:val="0"/>
          </w:rPr>
          <w:t xml:space="preserve">https://www.epidemiological.org/t/real-time-spatiotemporal-risk-modelling-of-the-bundibugyo-ebola-virus-outbreak-2026/16</w:t>
        </w:r>
      </w:hyperlink>
      <w:r w:rsidDel="00000000" w:rsidR="00000000" w:rsidRPr="00000000">
        <w:rPr>
          <w:rFonts w:ascii="Roboto" w:cs="Roboto" w:eastAsia="Roboto" w:hAnsi="Roboto"/>
          <w:sz w:val="21"/>
          <w:szCs w:val="21"/>
          <w:rtl w:val="0"/>
        </w:rPr>
        <w:t xml:space="preserve"> </w:t>
      </w:r>
      <w:r w:rsidDel="00000000" w:rsidR="00000000" w:rsidRPr="00000000">
        <w:rPr>
          <w:rtl w:val="0"/>
        </w:rPr>
      </w:r>
    </w:p>
    <w:p w:rsidR="00000000" w:rsidDel="00000000" w:rsidP="00000000" w:rsidRDefault="00000000" w:rsidRPr="00000000" w14:paraId="00000030">
      <w:pPr>
        <w:pStyle w:val="Heading3"/>
        <w:keepNext w:val="0"/>
        <w:keepLines w:val="0"/>
        <w:shd w:fill="ffffff" w:val="clear"/>
        <w:spacing w:after="60" w:before="180" w:line="288" w:lineRule="auto"/>
        <w:rPr>
          <w:rFonts w:ascii="Roboto" w:cs="Roboto" w:eastAsia="Roboto" w:hAnsi="Roboto"/>
        </w:rPr>
      </w:pPr>
      <w:bookmarkStart w:colFirst="0" w:colLast="0" w:name="_xcg8e6pdi332" w:id="15"/>
      <w:bookmarkEnd w:id="15"/>
      <w:r w:rsidDel="00000000" w:rsidR="00000000" w:rsidRPr="00000000">
        <w:rPr>
          <w:rFonts w:ascii="Roboto" w:cs="Roboto" w:eastAsia="Roboto" w:hAnsi="Roboto"/>
          <w:color w:val="9b7d4e"/>
          <w:sz w:val="20"/>
          <w:szCs w:val="20"/>
          <w:rtl w:val="0"/>
        </w:rPr>
        <w:t xml:space="preserve">Genomic Modelling</w:t>
      </w:r>
      <w:r w:rsidDel="00000000" w:rsidR="00000000" w:rsidRPr="00000000">
        <w:rPr>
          <w:rtl w:val="0"/>
        </w:rPr>
      </w:r>
    </w:p>
    <w:p w:rsidR="00000000" w:rsidDel="00000000" w:rsidP="00000000" w:rsidRDefault="00000000" w:rsidRPr="00000000" w14:paraId="00000031">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genomic epidemiological analyses presented on this dashboard are described here: </w:t>
      </w:r>
      <w:hyperlink r:id="rId31">
        <w:r w:rsidDel="00000000" w:rsidR="00000000" w:rsidRPr="00000000">
          <w:rPr>
            <w:rFonts w:ascii="Roboto" w:cs="Roboto" w:eastAsia="Roboto" w:hAnsi="Roboto"/>
            <w:color w:val="1155cc"/>
            <w:sz w:val="21"/>
            <w:szCs w:val="21"/>
            <w:u w:val="single"/>
            <w:rtl w:val="0"/>
          </w:rPr>
          <w:t xml:space="preserve">https://virological.org/t/phylodynamics-and-evolution-of-the-2026-bundibugyo-virus-circulating-in-the-democratic-republic-of-the-congo-insights-from-a-100-day-window-of-genomic-sequencing/1046</w:t>
        </w:r>
      </w:hyperlink>
      <w:r w:rsidDel="00000000" w:rsidR="00000000" w:rsidRPr="00000000">
        <w:rPr>
          <w:rFonts w:ascii="Roboto" w:cs="Roboto" w:eastAsia="Roboto" w:hAnsi="Roboto"/>
          <w:sz w:val="21"/>
          <w:szCs w:val="21"/>
          <w:rtl w:val="0"/>
        </w:rPr>
        <w:t xml:space="preserve"> </w:t>
      </w:r>
    </w:p>
    <w:p w:rsidR="00000000" w:rsidDel="00000000" w:rsidP="00000000" w:rsidRDefault="00000000" w:rsidRPr="00000000" w14:paraId="00000032">
      <w:pPr>
        <w:pStyle w:val="Heading2"/>
        <w:keepNext w:val="0"/>
        <w:keepLines w:val="0"/>
        <w:shd w:fill="ffffff" w:val="clear"/>
        <w:spacing w:after="60" w:before="280" w:line="288" w:lineRule="auto"/>
        <w:rPr>
          <w:rFonts w:ascii="Roboto" w:cs="Roboto" w:eastAsia="Roboto" w:hAnsi="Roboto"/>
          <w:color w:val="9b7d4e"/>
          <w:sz w:val="23"/>
          <w:szCs w:val="23"/>
        </w:rPr>
      </w:pPr>
      <w:bookmarkStart w:colFirst="0" w:colLast="0" w:name="_ktrldsukkcer" w:id="16"/>
      <w:bookmarkEnd w:id="16"/>
      <w:r w:rsidDel="00000000" w:rsidR="00000000" w:rsidRPr="00000000">
        <w:rPr>
          <w:rFonts w:ascii="Roboto" w:cs="Roboto" w:eastAsia="Roboto" w:hAnsi="Roboto"/>
          <w:color w:val="9b7d4e"/>
          <w:sz w:val="23"/>
          <w:szCs w:val="23"/>
          <w:rtl w:val="0"/>
        </w:rPr>
        <w:t xml:space="preserve">Funding</w:t>
      </w:r>
      <w:r w:rsidDel="00000000" w:rsidR="00000000" w:rsidRPr="00000000">
        <w:rPr>
          <w:rtl w:val="0"/>
        </w:rPr>
      </w:r>
    </w:p>
    <w:p w:rsidR="00000000" w:rsidDel="00000000" w:rsidP="00000000" w:rsidRDefault="00000000" w:rsidRPr="00000000" w14:paraId="00000033">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epidemic intelligence collaboration is funded by the Wellcome Trust, Gates Foundation, The Rockefeller Foundation, and the Coalition for Epidemic Preparedness Innovations, European Union – Horizon Europe / EDCTP3 Joint Undertaking.</w:t>
      </w:r>
    </w:p>
    <w:p w:rsidR="00000000" w:rsidDel="00000000" w:rsidP="00000000" w:rsidRDefault="00000000" w:rsidRPr="00000000" w14:paraId="00000034">
      <w:pPr>
        <w:rPr>
          <w:rFonts w:ascii="Roboto" w:cs="Roboto" w:eastAsia="Roboto" w:hAnsi="Roboto"/>
          <w:sz w:val="21"/>
          <w:szCs w:val="2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iki.openstreetmap.org/wiki/Refugee/Displaced_Site_Mapping" TargetMode="External"/><Relationship Id="rId22" Type="http://schemas.openxmlformats.org/officeDocument/2006/relationships/hyperlink" Target="https://climate-conflict.org/www" TargetMode="External"/><Relationship Id="rId21" Type="http://schemas.openxmlformats.org/officeDocument/2006/relationships/hyperlink" Target="https://wiki.openstreetmap.org/wiki/Refugee/Displaced_Site_Mapping" TargetMode="External"/><Relationship Id="rId24" Type="http://schemas.openxmlformats.org/officeDocument/2006/relationships/hyperlink" Target="https://project-osrm.org/" TargetMode="External"/><Relationship Id="rId23" Type="http://schemas.openxmlformats.org/officeDocument/2006/relationships/hyperlink" Target="https://cds.climate.copernicus.eu/datasets/satellite-land-cover?tab=overview"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INRB-UMIE/BDBV2026-Data/" TargetMode="External"/><Relationship Id="rId26" Type="http://schemas.openxmlformats.org/officeDocument/2006/relationships/hyperlink" Target="https://www.flowminder.org/" TargetMode="External"/><Relationship Id="rId25" Type="http://schemas.openxmlformats.org/officeDocument/2006/relationships/hyperlink" Target="https://project-osrm.org/" TargetMode="External"/><Relationship Id="rId28" Type="http://schemas.openxmlformats.org/officeDocument/2006/relationships/hyperlink" Target="https://au.int/fr/africacdc" TargetMode="External"/><Relationship Id="rId27" Type="http://schemas.openxmlformats.org/officeDocument/2006/relationships/hyperlink" Target="https://au.int/fr/africacdc" TargetMode="External"/><Relationship Id="rId5" Type="http://schemas.openxmlformats.org/officeDocument/2006/relationships/styles" Target="styles.xml"/><Relationship Id="rId6" Type="http://schemas.openxmlformats.org/officeDocument/2006/relationships/hyperlink" Target="https://doi.org/10.5281/zenodo.20347624" TargetMode="External"/><Relationship Id="rId29" Type="http://schemas.openxmlformats.org/officeDocument/2006/relationships/hyperlink" Target="https://www.thelancet.com/journals/laninf/article/PIIS1473-3099(26)00330-0/fulltext" TargetMode="External"/><Relationship Id="rId7" Type="http://schemas.openxmlformats.org/officeDocument/2006/relationships/hyperlink" Target="https://doi.org/10.5281/zenodo.20347624" TargetMode="External"/><Relationship Id="rId8" Type="http://schemas.openxmlformats.org/officeDocument/2006/relationships/hyperlink" Target="https://www.thelancet.com/journals/laninf/article/PIIS1473-3099(26)00330-0/fulltext" TargetMode="External"/><Relationship Id="rId31" Type="http://schemas.openxmlformats.org/officeDocument/2006/relationships/hyperlink" Target="https://virological.org/t/phylodynamics-and-evolution-of-the-2026-bundibugyo-virus-circulating-in-the-democratic-republic-of-the-congo-insights-from-a-100-day-window-of-genomic-sequencing/1046" TargetMode="External"/><Relationship Id="rId30" Type="http://schemas.openxmlformats.org/officeDocument/2006/relationships/hyperlink" Target="https://www.epidemiological.org/t/real-time-spatiotemporal-risk-modelling-of-the-bundibugyo-ebola-virus-outbreak-2026/16" TargetMode="External"/><Relationship Id="rId11" Type="http://schemas.openxmlformats.org/officeDocument/2006/relationships/hyperlink" Target="https://data.humdata.org/dataset/drc-health-data" TargetMode="External"/><Relationship Id="rId10" Type="http://schemas.openxmlformats.org/officeDocument/2006/relationships/hyperlink" Target="https://github.com/INRB-UMIE/BDBV2026-Data/" TargetMode="External"/><Relationship Id="rId13" Type="http://schemas.openxmlformats.org/officeDocument/2006/relationships/hyperlink" Target="https://insp.cd/ebola-17eme-epidemie/" TargetMode="External"/><Relationship Id="rId12" Type="http://schemas.openxmlformats.org/officeDocument/2006/relationships/hyperlink" Target="https://data.grid3.org/datasets/GRID3::grid3-cod-health-zones-v8-0/explore?location=1.709967%2C29.613338%2C8" TargetMode="External"/><Relationship Id="rId15" Type="http://schemas.openxmlformats.org/officeDocument/2006/relationships/hyperlink" Target="https://data.grid3.org/maps/a3db539c0fae4c05aed92ed67e11fe2b/about" TargetMode="External"/><Relationship Id="rId14" Type="http://schemas.openxmlformats.org/officeDocument/2006/relationships/hyperlink" Target="https://insp.cd/ebola-17eme-epidemie/" TargetMode="External"/><Relationship Id="rId17" Type="http://schemas.openxmlformats.org/officeDocument/2006/relationships/hyperlink" Target="https://data.grid3.org/datasets/GRID3::grid3-cod-health-facilities-v8-0/about" TargetMode="External"/><Relationship Id="rId16" Type="http://schemas.openxmlformats.org/officeDocument/2006/relationships/hyperlink" Target="https://www.worldpop.org/" TargetMode="External"/><Relationship Id="rId19" Type="http://schemas.openxmlformats.org/officeDocument/2006/relationships/hyperlink" Target="http://healthsites.io" TargetMode="External"/><Relationship Id="rId18" Type="http://schemas.openxmlformats.org/officeDocument/2006/relationships/hyperlink" Target="https://data.grid3.org/datasets/GRID3::grid3-cod-health-facilities-v8-0/abou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