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7CCA0" w14:textId="77777777" w:rsidR="00AD2EF1" w:rsidRPr="00AD2EF1" w:rsidRDefault="00AD2EF1" w:rsidP="00D31C95">
      <w:pPr>
        <w:pStyle w:val="Heading1"/>
        <w:rPr>
          <w:rFonts w:eastAsia="Times New Roman"/>
        </w:rPr>
      </w:pPr>
      <w:r w:rsidRPr="00AD2EF1">
        <w:rPr>
          <w:rFonts w:eastAsia="Times New Roman"/>
        </w:rPr>
        <w:t>Contributors</w:t>
      </w:r>
    </w:p>
    <w:p w14:paraId="3341F97B" w14:textId="0DF22E8A" w:rsidR="00AD2EF1" w:rsidRDefault="00816937" w:rsidP="00AD2EF1">
      <w:pPr>
        <w:spacing w:after="20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This work is led by the </w:t>
      </w:r>
      <w:proofErr w:type="spellStart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Institut</w:t>
      </w:r>
      <w:proofErr w:type="spellEnd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National de Santé </w:t>
      </w:r>
      <w:proofErr w:type="spellStart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Publique</w:t>
      </w:r>
      <w:proofErr w:type="spellEnd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(INSP) (Pierre Akilimali, Adelard Lofungola)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and </w:t>
      </w:r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the </w:t>
      </w:r>
      <w:proofErr w:type="spellStart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Institut</w:t>
      </w:r>
      <w:proofErr w:type="spellEnd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National de Recherche </w:t>
      </w:r>
      <w:proofErr w:type="spellStart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Biomédicale</w:t>
      </w:r>
      <w:proofErr w:type="spellEnd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(INRB) Kinshasa/One Health Institute for Africa (INOHA) Kinshasa (Dav Ebengo, Placide Mbala-</w:t>
      </w:r>
      <w:proofErr w:type="spellStart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Kingebeni</w:t>
      </w:r>
      <w:proofErr w:type="spellEnd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and Tania </w:t>
      </w:r>
      <w:proofErr w:type="spellStart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Bishola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</w:t>
      </w:r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in collaboration with the </w:t>
      </w:r>
      <w:proofErr w:type="spellStart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AfricaCDC</w:t>
      </w:r>
      <w:proofErr w:type="spellEnd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and partners across the University of Oxford and Northeastern University; please contact dav.ebengo@umie-inrb.org or pierre.akilimali@insp.cd for further information.</w:t>
      </w:r>
    </w:p>
    <w:p w14:paraId="0066117D" w14:textId="77777777" w:rsidR="0047048C" w:rsidRPr="0047048C" w:rsidRDefault="0047048C" w:rsidP="0047048C">
      <w:pPr>
        <w:pStyle w:val="Heading3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7048C">
        <w:t>Collaborating institutions and agencies</w:t>
      </w:r>
    </w:p>
    <w:p w14:paraId="786E9407" w14:textId="77777777" w:rsidR="0047048C" w:rsidRPr="0047048C" w:rsidRDefault="0047048C" w:rsidP="0047048C">
      <w:pPr>
        <w:pStyle w:val="ListParagraph"/>
        <w:numPr>
          <w:ilvl w:val="0"/>
          <w:numId w:val="1"/>
        </w:numPr>
        <w:spacing w:after="20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47048C">
        <w:rPr>
          <w:rFonts w:ascii="Aptos" w:hAnsi="Aptos"/>
          <w:color w:val="212121"/>
        </w:rPr>
        <w:t>Institut</w:t>
      </w:r>
      <w:proofErr w:type="spellEnd"/>
      <w:r w:rsidRPr="0047048C">
        <w:rPr>
          <w:rFonts w:ascii="Aptos" w:hAnsi="Aptos"/>
          <w:color w:val="212121"/>
        </w:rPr>
        <w:t xml:space="preserve"> National de Santé </w:t>
      </w:r>
      <w:proofErr w:type="spellStart"/>
      <w:r w:rsidRPr="0047048C">
        <w:rPr>
          <w:rFonts w:ascii="Aptos" w:hAnsi="Aptos"/>
          <w:color w:val="212121"/>
        </w:rPr>
        <w:t>Publique</w:t>
      </w:r>
      <w:proofErr w:type="spellEnd"/>
      <w:r w:rsidRPr="0047048C">
        <w:rPr>
          <w:rFonts w:ascii="Aptos" w:hAnsi="Aptos"/>
          <w:color w:val="212121"/>
        </w:rPr>
        <w:t xml:space="preserve"> (INSP)</w:t>
      </w:r>
    </w:p>
    <w:p w14:paraId="39143E67" w14:textId="77777777" w:rsidR="0047048C" w:rsidRPr="0047048C" w:rsidRDefault="0047048C" w:rsidP="0047048C">
      <w:pPr>
        <w:pStyle w:val="ListParagraph"/>
        <w:numPr>
          <w:ilvl w:val="0"/>
          <w:numId w:val="1"/>
        </w:numPr>
        <w:spacing w:after="20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7048C">
        <w:rPr>
          <w:rFonts w:ascii="Aptos" w:hAnsi="Aptos"/>
          <w:color w:val="212121"/>
        </w:rPr>
        <w:t>National Institute of Biomedical Research (INRB)</w:t>
      </w:r>
    </w:p>
    <w:p w14:paraId="0125E81B" w14:textId="77777777" w:rsidR="0047048C" w:rsidRPr="0047048C" w:rsidRDefault="0047048C" w:rsidP="0047048C">
      <w:pPr>
        <w:pStyle w:val="ListParagraph"/>
        <w:numPr>
          <w:ilvl w:val="0"/>
          <w:numId w:val="1"/>
        </w:numPr>
        <w:spacing w:after="20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7048C">
        <w:rPr>
          <w:rFonts w:ascii="Aptos" w:hAnsi="Aptos"/>
          <w:color w:val="212121"/>
        </w:rPr>
        <w:t xml:space="preserve">Africa </w:t>
      </w:r>
      <w:proofErr w:type="spellStart"/>
      <w:r w:rsidRPr="0047048C">
        <w:rPr>
          <w:rFonts w:ascii="Aptos" w:hAnsi="Aptos"/>
          <w:color w:val="212121"/>
        </w:rPr>
        <w:t>Centres</w:t>
      </w:r>
      <w:proofErr w:type="spellEnd"/>
      <w:r w:rsidRPr="0047048C">
        <w:rPr>
          <w:rFonts w:ascii="Aptos" w:hAnsi="Aptos"/>
          <w:color w:val="212121"/>
        </w:rPr>
        <w:t xml:space="preserve"> for Disease Control and Prevention, Addis Ababa, Ethiopia</w:t>
      </w:r>
    </w:p>
    <w:p w14:paraId="4BC498AA" w14:textId="77777777" w:rsidR="0047048C" w:rsidRPr="0047048C" w:rsidRDefault="0047048C" w:rsidP="0047048C">
      <w:pPr>
        <w:pStyle w:val="ListParagraph"/>
        <w:numPr>
          <w:ilvl w:val="0"/>
          <w:numId w:val="1"/>
        </w:numPr>
        <w:spacing w:after="20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7048C">
        <w:rPr>
          <w:rFonts w:ascii="Aptos" w:hAnsi="Aptos"/>
          <w:color w:val="212121"/>
        </w:rPr>
        <w:t>World Health Organization, Geneva, Switzerland</w:t>
      </w:r>
    </w:p>
    <w:p w14:paraId="35B25973" w14:textId="77777777" w:rsidR="0047048C" w:rsidRPr="0047048C" w:rsidRDefault="0047048C" w:rsidP="0047048C">
      <w:pPr>
        <w:pStyle w:val="ListParagraph"/>
        <w:numPr>
          <w:ilvl w:val="0"/>
          <w:numId w:val="1"/>
        </w:numPr>
        <w:spacing w:after="20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7048C">
        <w:rPr>
          <w:rFonts w:ascii="Aptos" w:hAnsi="Aptos"/>
          <w:color w:val="212121"/>
        </w:rPr>
        <w:t>World Health Organization Country Office, Kinshasa, Democratic Republic of the Congo</w:t>
      </w:r>
    </w:p>
    <w:p w14:paraId="2E966A13" w14:textId="77777777" w:rsidR="0047048C" w:rsidRPr="0047048C" w:rsidRDefault="0047048C" w:rsidP="0047048C">
      <w:pPr>
        <w:pStyle w:val="ListParagraph"/>
        <w:numPr>
          <w:ilvl w:val="0"/>
          <w:numId w:val="1"/>
        </w:numPr>
        <w:spacing w:after="20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7048C">
        <w:rPr>
          <w:rFonts w:ascii="Aptos" w:hAnsi="Aptos"/>
          <w:color w:val="212121"/>
        </w:rPr>
        <w:t>Northeastern University, United States</w:t>
      </w:r>
    </w:p>
    <w:p w14:paraId="33EE7F1D" w14:textId="28D5D699" w:rsidR="0047048C" w:rsidRPr="0047048C" w:rsidRDefault="0047048C" w:rsidP="0047048C">
      <w:pPr>
        <w:pStyle w:val="ListParagraph"/>
        <w:numPr>
          <w:ilvl w:val="0"/>
          <w:numId w:val="1"/>
        </w:numPr>
        <w:spacing w:after="20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7048C">
        <w:rPr>
          <w:rFonts w:ascii="Aptos" w:hAnsi="Aptos"/>
          <w:color w:val="212121"/>
        </w:rPr>
        <w:t>University of Oxford, United Kingdom</w:t>
      </w:r>
    </w:p>
    <w:p w14:paraId="2B7F867D" w14:textId="7BA2BEF2" w:rsidR="0047048C" w:rsidRPr="00AD2EF1" w:rsidRDefault="0047048C" w:rsidP="0047048C">
      <w:pPr>
        <w:pStyle w:val="Heading3"/>
        <w:rPr>
          <w:rFonts w:eastAsia="Times New Roman"/>
        </w:rPr>
      </w:pPr>
      <w:r>
        <w:rPr>
          <w:rFonts w:eastAsia="Times New Roman"/>
        </w:rPr>
        <w:t>Statement on continuing work and analysis before publication</w:t>
      </w:r>
    </w:p>
    <w:p w14:paraId="3128A219" w14:textId="402FE03E" w:rsidR="0047048C" w:rsidRPr="00AD2EF1" w:rsidRDefault="0047048C" w:rsidP="00AD2EF1">
      <w:pPr>
        <w:spacing w:after="20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Aptos" w:hAnsi="Aptos"/>
          <w:color w:val="212121"/>
        </w:rPr>
        <w:t>Please note that the epidemiological data presented here is based on work in progress and should be considered preliminary. Our analyses are ongoing, and a publication communicating our findings is in preparation. Contextual data are publicly accessible; please refer to the original license when re-using these data. If you intend to use the epidemiological data prior to our publication, please contact Prof. Placide Mbala-</w:t>
      </w:r>
      <w:proofErr w:type="spellStart"/>
      <w:r>
        <w:rPr>
          <w:rFonts w:ascii="Aptos" w:hAnsi="Aptos"/>
          <w:color w:val="212121"/>
        </w:rPr>
        <w:t>Kingebeni</w:t>
      </w:r>
      <w:proofErr w:type="spellEnd"/>
      <w:r>
        <w:rPr>
          <w:rFonts w:ascii="Aptos" w:hAnsi="Aptos"/>
          <w:color w:val="212121"/>
        </w:rPr>
        <w:t xml:space="preserve"> (INRB, DRC), Prof. Dav Ebengo (INRB, DRC), and Pierre Akilimali (INSP).</w:t>
      </w:r>
    </w:p>
    <w:p w14:paraId="050CB7FB" w14:textId="77777777" w:rsidR="00AD2EF1" w:rsidRPr="00AD2EF1" w:rsidRDefault="00AD2EF1" w:rsidP="00D31C95">
      <w:pPr>
        <w:pStyle w:val="Heading2"/>
        <w:rPr>
          <w:rFonts w:eastAsia="Times New Roman"/>
        </w:rPr>
      </w:pPr>
      <w:r w:rsidRPr="00AD2EF1">
        <w:rPr>
          <w:rFonts w:eastAsia="Times New Roman"/>
        </w:rPr>
        <w:t>Data</w:t>
      </w:r>
    </w:p>
    <w:p w14:paraId="53FAD8EC" w14:textId="78E664DA" w:rsidR="00AD2EF1" w:rsidRPr="00AD2EF1" w:rsidRDefault="00AD2EF1" w:rsidP="00AD2EF1">
      <w:pPr>
        <w:spacing w:after="20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The dashboard was built </w:t>
      </w:r>
      <w:r w:rsidR="00560C7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predominantly 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using open-access, publicly available data</w:t>
      </w:r>
      <w:r w:rsidR="00560C7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and some private </w:t>
      </w:r>
      <w:proofErr w:type="spellStart"/>
      <w:r w:rsidR="00560C7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linelist</w:t>
      </w:r>
      <w:proofErr w:type="spellEnd"/>
      <w:r w:rsidR="00560C7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data hosted by the INRB.</w:t>
      </w:r>
    </w:p>
    <w:p w14:paraId="5960AD2D" w14:textId="77777777" w:rsidR="00AD2EF1" w:rsidRPr="00D31C95" w:rsidRDefault="00AD2EF1" w:rsidP="00D31C95">
      <w:pPr>
        <w:pStyle w:val="Heading3"/>
        <w:rPr>
          <w:rFonts w:eastAsia="Times New Roman"/>
        </w:rPr>
      </w:pPr>
      <w:r w:rsidRPr="00D31C95">
        <w:rPr>
          <w:rFonts w:eastAsia="Times New Roman"/>
        </w:rPr>
        <w:t>Data sources</w:t>
      </w:r>
    </w:p>
    <w:p w14:paraId="676FF408" w14:textId="2A28E63E" w:rsidR="00560C70" w:rsidRDefault="00AD2EF1" w:rsidP="00AD2EF1">
      <w:pPr>
        <w:spacing w:after="200" w:line="240" w:lineRule="auto"/>
      </w:pPr>
      <w:r w:rsidRPr="00D31C95">
        <w:rPr>
          <w:rStyle w:val="Heading4Char"/>
        </w:rPr>
        <w:t>Data:</w:t>
      </w:r>
      <w:r w:rsidR="006D2CF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hyperlink r:id="rId5" w:history="1">
        <w:r w:rsidR="00560C70" w:rsidRPr="0021324B">
          <w:rPr>
            <w:rStyle w:val="Hyperlink"/>
          </w:rPr>
          <w:t>https://github.com/INRB-UMIE/BDBV2026-Data/</w:t>
        </w:r>
      </w:hyperlink>
    </w:p>
    <w:p w14:paraId="793DB1CA" w14:textId="77777777" w:rsidR="00AD2EF1" w:rsidRPr="00AD2EF1" w:rsidRDefault="00AD2EF1" w:rsidP="00AD2EF1">
      <w:pPr>
        <w:spacing w:after="20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Administrative boundaries are the DRC Ministry of Health zones de santé (519 zones) based on publicly available shape files from the </w:t>
      </w:r>
      <w:hyperlink r:id="rId6" w:history="1">
        <w:r w:rsidRPr="00AD2EF1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Humanitarian Data Exchange</w:t>
        </w:r>
      </w:hyperlink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joined to a separate set of 300-dimensional </w:t>
      </w:r>
      <w:hyperlink r:id="rId7" w:history="1">
        <w:r w:rsidRPr="00AD2EF1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Population Dynamics Foundation Model</w:t>
        </w:r>
      </w:hyperlink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(PDFM) embeddings (520 zones) via DHIS2 codes</w:t>
      </w:r>
      <w:r w:rsidR="00FB2A3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and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hyperlink r:id="rId8" w:history="1">
        <w:proofErr w:type="spellStart"/>
        <w:r w:rsidRPr="00AD2EF1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OpenStreatMaps</w:t>
        </w:r>
        <w:proofErr w:type="spellEnd"/>
      </w:hyperlink>
      <w:r w:rsidR="00FB2A3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reference IDs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14:paraId="4EDA7B0F" w14:textId="77777777" w:rsidR="00AD2EF1" w:rsidRPr="00AD2EF1" w:rsidRDefault="00AD2EF1" w:rsidP="00AD2EF1">
      <w:pPr>
        <w:spacing w:after="20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Per-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region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populations are sums of the </w:t>
      </w:r>
      <w:hyperlink r:id="rId9" w:history="1">
        <w:r w:rsidRPr="00AD2EF1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GRID3 v4.4 population raster</w:t>
        </w:r>
      </w:hyperlink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(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spatial resolution of 3 </w:t>
      </w:r>
      <w:proofErr w:type="gramStart"/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arc-seconds</w:t>
      </w:r>
      <w:proofErr w:type="gramEnd"/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~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100-metre grid cells) within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 boundary of each region per the HDX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shapefile. 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Health-facility counts come from </w:t>
      </w:r>
      <w:hyperlink r:id="rId10" w:history="1">
        <w:r w:rsidRPr="00AD2EF1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GRID3 COD - Health Facilities v8.0</w:t>
        </w:r>
      </w:hyperlink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joined by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DHIS2 codes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. Refugee/IDP site locations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were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pulled from </w:t>
      </w:r>
      <w:hyperlink r:id="rId11" w:history="1">
        <w:r w:rsidRPr="00AD2EF1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OpenStreetMap</w:t>
        </w:r>
      </w:hyperlink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via Overpass.</w:t>
      </w:r>
    </w:p>
    <w:p w14:paraId="2EAFBED9" w14:textId="730F664F" w:rsidR="00AD2EF1" w:rsidRPr="00AD2EF1" w:rsidRDefault="00AD2EF1" w:rsidP="00AD2EF1">
      <w:pPr>
        <w:spacing w:after="20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Pairwise driving travel times are obtained from the public </w:t>
      </w:r>
      <w:hyperlink r:id="rId12" w:history="1">
        <w:r w:rsidRPr="00E620A4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OSRM</w:t>
        </w:r>
      </w:hyperlink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service</w:t>
      </w:r>
      <w:r w:rsidR="0064764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. 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Pairwise great-circle (haversine) distances are computed directly from the health zone centroids. </w:t>
      </w:r>
      <w:r w:rsidR="00BB34CA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PCR testing capacity data was made available by </w:t>
      </w:r>
      <w:hyperlink r:id="rId13" w:history="1">
        <w:proofErr w:type="spellStart"/>
        <w:r w:rsidR="00BB34CA" w:rsidRPr="00BB34CA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AfricaCDC</w:t>
        </w:r>
        <w:proofErr w:type="spellEnd"/>
      </w:hyperlink>
      <w:r w:rsidR="00BB34CA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. 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Outbreak counts (suspected/confirmed cases and deaths) are extracted from the </w:t>
      </w:r>
      <w:r w:rsidR="00E620A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latest </w:t>
      </w:r>
      <w:hyperlink r:id="rId14" w:history="1">
        <w:r w:rsidR="00E620A4" w:rsidRPr="00F676E2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INSP sit</w:t>
        </w:r>
        <w:r w:rsidR="00840335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 xml:space="preserve"> r</w:t>
        </w:r>
        <w:r w:rsidR="00E620A4" w:rsidRPr="00F676E2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ep</w:t>
        </w:r>
      </w:hyperlink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  <w:r w:rsidR="00BB34CA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</w:p>
    <w:p w14:paraId="273960DA" w14:textId="77777777" w:rsidR="00AD2EF1" w:rsidRPr="00AD2EF1" w:rsidRDefault="00AD2EF1" w:rsidP="00AD2EF1">
      <w:pPr>
        <w:spacing w:after="20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5F4552C0" w14:textId="77777777" w:rsidR="00AD2EF1" w:rsidRPr="00D31C95" w:rsidRDefault="00AD2EF1" w:rsidP="00D31C95">
      <w:pPr>
        <w:pStyle w:val="Heading2"/>
        <w:rPr>
          <w:rFonts w:eastAsia="Times New Roman"/>
        </w:rPr>
      </w:pPr>
      <w:r w:rsidRPr="00D31C95">
        <w:rPr>
          <w:rFonts w:eastAsia="Times New Roman"/>
        </w:rPr>
        <w:t>Methods</w:t>
      </w:r>
    </w:p>
    <w:p w14:paraId="01847B80" w14:textId="77777777" w:rsidR="00AD2EF1" w:rsidRDefault="00AD2EF1" w:rsidP="00D31C95">
      <w:pPr>
        <w:pStyle w:val="Heading3"/>
        <w:rPr>
          <w:rFonts w:eastAsia="Times New Roman"/>
        </w:rPr>
      </w:pPr>
      <w:r w:rsidRPr="00AD2EF1">
        <w:rPr>
          <w:rFonts w:eastAsia="Times New Roman"/>
        </w:rPr>
        <w:t>Risk assessment via stochastic metapopulation SEIR modeling</w:t>
      </w:r>
    </w:p>
    <w:p w14:paraId="62CC075B" w14:textId="77777777" w:rsidR="00A41A68" w:rsidRPr="00A41A68" w:rsidRDefault="00A41A68" w:rsidP="00A41A68">
      <w:pPr>
        <w:spacing w:after="2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We implemented a discrete-time tau-leap Susceptible Exposed Infectious Removed (SEIR) metapopulation model that allows for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overdispersed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transmission. We partitioned DRC into 519 health zones. Each zone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is treated as its own well-mixed sub-population with a fixed total population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(from GRID3 v4.4) and its own per-zone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/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/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/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compartments. Zones interact through a mobility kernel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. The state evolves in discrete daily time steps. At each step, every susceptible in zone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has a probability 1 − </w:t>
      </w:r>
      <w:proofErr w:type="gram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exp(</w:t>
      </w:r>
      <w:proofErr w:type="gram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−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λ_i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Δt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 of becoming exposed, with the per-zone force of infection</w:t>
      </w:r>
    </w:p>
    <w:p w14:paraId="4843122A" w14:textId="77777777" w:rsidR="00A41A68" w:rsidRPr="00A41A68" w:rsidRDefault="00A41A68" w:rsidP="00A41A68">
      <w:pPr>
        <w:spacing w:after="2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   </w:t>
      </w: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λ_i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= (1 − ε) ·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/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</w:t>
      </w:r>
      <w:proofErr w:type="gram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 +</w:t>
      </w:r>
      <w:proofErr w:type="gram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 ε ·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Σ_j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·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B_j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/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</w:t>
      </w:r>
    </w:p>
    <w:p w14:paraId="501CA282" w14:textId="77777777" w:rsidR="00A41A68" w:rsidRPr="00A41A68" w:rsidRDefault="00A41A68" w:rsidP="00A41A68">
      <w:pPr>
        <w:spacing w:after="2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where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is the summed per-individual transmission rate over all infectious cohorts currently in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and a mixing parameter ε </w:t>
      </w:r>
      <w:r w:rsidRPr="00A41A68">
        <w:rPr>
          <w:rFonts w:ascii="Cambria Math" w:eastAsia="Times New Roman" w:hAnsi="Cambria Math" w:cs="Cambria Math"/>
          <w:color w:val="000000"/>
          <w:kern w:val="0"/>
          <w14:ligatures w14:val="none"/>
        </w:rPr>
        <w:t>∈</w:t>
      </w: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[0, 1] sets the fraction of contacts drawn from outside the zone. Individuals exit the latent period (E→I) following a gamma-distribution with mean 10 days and shape parameter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n_E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= 2 (coefficient of variation ≈ 0.71). We implement the gamma distribution by splitting E into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n_E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sequential exponential sub-stages each with rate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n_E·σ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where σ = 1/(10 days), such that the total time governing the E→I transition is Erlang(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n_E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n_E·σ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 ~ Gamma(shape=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n_E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mean=10 d). The infectious period (I→R) is assumed to be exponential with a mean of 7 days.</w:t>
      </w:r>
    </w:p>
    <w:p w14:paraId="7593397A" w14:textId="77777777" w:rsidR="00A41A68" w:rsidRPr="00A41A68" w:rsidRDefault="00A41A68" w:rsidP="00A41A68">
      <w:pPr>
        <w:spacing w:after="20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Overdispersion is implemented at the individual level such that rate β_j is drawn from </w:t>
      </w:r>
      <w:proofErr w:type="gram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Gamma(</w:t>
      </w:r>
      <w:proofErr w:type="gram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k, R0/(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k·D_inf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)) when a transition happens from E→I. The result is that the per-individual distribution of secondary infections is roughly </w:t>
      </w:r>
      <w:proofErr w:type="spellStart"/>
      <w:proofErr w:type="gram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NegBinom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(</w:t>
      </w:r>
      <w:proofErr w:type="gram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R0, k). Individuals </w:t>
      </w:r>
      <w:proofErr w:type="gram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entering</w:t>
      </w:r>
      <w:proofErr w:type="gram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 in the same time step are tracked as a cohort, and recoveries split the cohort's transmission rate exactly via the Beta thinning identity Gamma(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a+b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) → </w:t>
      </w:r>
      <w:proofErr w:type="gram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Beta(</w:t>
      </w:r>
      <w:proofErr w:type="gram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a, b)-fraction.</w:t>
      </w:r>
    </w:p>
    <w:p w14:paraId="2C10FEDF" w14:textId="77777777" w:rsidR="00A41A68" w:rsidRPr="00A41A68" w:rsidRDefault="00A41A68" w:rsidP="00A41A68">
      <w:pPr>
        <w:spacing w:after="20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Between-zone coupling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is a row-normalized convex combination of three independently constructed components. Each component is a normalized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origin→destination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matrix. The three components are a long-range gravity model, short-range gravity model, and empirical flow model. We use driving times to calibrate the gravity models and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Flowminder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data for empirical flows and combine them such that  </w:t>
      </w:r>
    </w:p>
    <w:p w14:paraId="230E8D1A" w14:textId="77777777" w:rsidR="00A41A68" w:rsidRPr="00A41A68" w:rsidRDefault="00A41A68" w:rsidP="00A41A68">
      <w:pPr>
        <w:spacing w:after="2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M_gravity_ij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= (1 −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w_short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) ·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M_long_</w:t>
      </w:r>
      <w:proofErr w:type="gram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 +</w:t>
      </w:r>
      <w:proofErr w:type="gram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w_short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·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M_short_ij</w:t>
      </w:r>
      <w:proofErr w:type="spellEnd"/>
    </w:p>
    <w:p w14:paraId="0047DAFE" w14:textId="77777777" w:rsidR="00A41A68" w:rsidRPr="00A41A68" w:rsidRDefault="00A41A68" w:rsidP="00A41A68">
      <w:pPr>
        <w:spacing w:after="2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if row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has empirical outflow:</w:t>
      </w:r>
    </w:p>
    <w:p w14:paraId="5FA8ECC2" w14:textId="77777777" w:rsidR="00A41A68" w:rsidRPr="00A41A68" w:rsidRDefault="00A41A68" w:rsidP="00A41A68">
      <w:pPr>
        <w:spacing w:after="20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>M_ij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= (1 −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w_emp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) ·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M_gravity_</w:t>
      </w:r>
      <w:proofErr w:type="gram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 +</w:t>
      </w:r>
      <w:proofErr w:type="gram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w_emp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·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M_emp_ij</w:t>
      </w:r>
      <w:proofErr w:type="spellEnd"/>
    </w:p>
    <w:p w14:paraId="6E8FA7F1" w14:textId="77777777" w:rsidR="00A41A68" w:rsidRPr="00A41A68" w:rsidRDefault="00A41A68" w:rsidP="00A41A68">
      <w:pPr>
        <w:spacing w:after="2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else:</w:t>
      </w:r>
    </w:p>
    <w:p w14:paraId="182AAC22" w14:textId="77777777" w:rsidR="00A41A68" w:rsidRPr="00A41A68" w:rsidRDefault="00A41A68" w:rsidP="00A41A68">
      <w:pPr>
        <w:spacing w:after="20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=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M_gravity_ij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;</w:t>
      </w:r>
    </w:p>
    <w:p w14:paraId="381A5743" w14:textId="77777777" w:rsidR="00A41A68" w:rsidRPr="00A41A68" w:rsidRDefault="00A41A68" w:rsidP="00A41A68">
      <w:pPr>
        <w:spacing w:after="2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where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M_long_ij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=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^α  ·  exp(−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/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scale_long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), 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M_short_ij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=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 ·  exp(−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/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scale_short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), α is the gravity model exponent,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scale_long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and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scale_short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are normalization factors,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M_emp_ij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are the empirical movements,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w_emp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 weighting factor, and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is the pairwise distance, and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the destination population.</w:t>
      </w:r>
    </w:p>
    <w:p w14:paraId="10495041" w14:textId="0D78072A" w:rsidR="000A4A78" w:rsidRPr="00A41A68" w:rsidRDefault="00A41A68" w:rsidP="00A41A68">
      <w:pPr>
        <w:spacing w:after="20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We consider </w:t>
      </w:r>
      <w:r w:rsidR="005003A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 range of</w:t>
      </w: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different initial conditions. From each set of initial conditions, an outbreak is simulated forward to the date of the latest situation report. We compute the per-zone reporting rate such that the observed case fatality rate is 30%. We run a grid search over R0 × k × ε × and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emp_w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 Each combination is run 1,000 times via stochastic simulation. Scoring is log-RMSE between the observed and reporting-rate-scaled simulated case counts. We pool across initial conditions and parameters using Approximate Bayesian Computation to identify an overall most-favored scenario and calculate credible intervals.</w:t>
      </w:r>
    </w:p>
    <w:sectPr w:rsidR="000A4A78" w:rsidRPr="00A41A68" w:rsidSect="004B4B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271145"/>
    <w:multiLevelType w:val="hybridMultilevel"/>
    <w:tmpl w:val="8CF87C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66936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3328"/>
    <w:rsid w:val="000A4A78"/>
    <w:rsid w:val="00175F62"/>
    <w:rsid w:val="0047048C"/>
    <w:rsid w:val="004B4B6A"/>
    <w:rsid w:val="004F4AB8"/>
    <w:rsid w:val="005003AD"/>
    <w:rsid w:val="005371A2"/>
    <w:rsid w:val="00560C70"/>
    <w:rsid w:val="005D65D0"/>
    <w:rsid w:val="0064764C"/>
    <w:rsid w:val="00665CF3"/>
    <w:rsid w:val="006A2CA2"/>
    <w:rsid w:val="006D2CF8"/>
    <w:rsid w:val="007D7AD5"/>
    <w:rsid w:val="007E572B"/>
    <w:rsid w:val="007F4C2C"/>
    <w:rsid w:val="00816937"/>
    <w:rsid w:val="00840335"/>
    <w:rsid w:val="00A41A68"/>
    <w:rsid w:val="00AD2EF1"/>
    <w:rsid w:val="00BB34CA"/>
    <w:rsid w:val="00D11590"/>
    <w:rsid w:val="00D31C95"/>
    <w:rsid w:val="00D373D1"/>
    <w:rsid w:val="00E620A4"/>
    <w:rsid w:val="00E62361"/>
    <w:rsid w:val="00EB3328"/>
    <w:rsid w:val="00EC09EE"/>
    <w:rsid w:val="00F676E2"/>
    <w:rsid w:val="00FB2A30"/>
    <w:rsid w:val="00FC63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7244610"/>
  <w15:chartTrackingRefBased/>
  <w15:docId w15:val="{FCDE0C11-85AA-804D-A8BA-000FF69E85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33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B33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B33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B33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33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33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33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33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33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33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B33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B33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B33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33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33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33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33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33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33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33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33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33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33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33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33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33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33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33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332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B33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tab-span">
    <w:name w:val="apple-tab-span"/>
    <w:basedOn w:val="DefaultParagraphFont"/>
    <w:rsid w:val="00EB3328"/>
  </w:style>
  <w:style w:type="character" w:styleId="Hyperlink">
    <w:name w:val="Hyperlink"/>
    <w:basedOn w:val="DefaultParagraphFont"/>
    <w:uiPriority w:val="99"/>
    <w:unhideWhenUsed/>
    <w:rsid w:val="00AD2EF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2EF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1693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openstreetmap.org/" TargetMode="External"/><Relationship Id="rId13" Type="http://schemas.openxmlformats.org/officeDocument/2006/relationships/hyperlink" Target="https://au.int/fr/africacdc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research.google/blog/insights-into-population-dynamics-a-foundation-model-for-geospatial-inference/" TargetMode="External"/><Relationship Id="rId12" Type="http://schemas.openxmlformats.org/officeDocument/2006/relationships/hyperlink" Target="https://project-osrm.org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data.humdata.org/dataset/drc-health-data" TargetMode="External"/><Relationship Id="rId11" Type="http://schemas.openxmlformats.org/officeDocument/2006/relationships/hyperlink" Target="https://wiki.openstreetmap.org/wiki/Refugee/Displaced_Site_Mapping" TargetMode="External"/><Relationship Id="rId5" Type="http://schemas.openxmlformats.org/officeDocument/2006/relationships/hyperlink" Target="https://github.com/INRB-UMIE/BDBV2026-Data/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data.grid3.org/datasets/GRID3::grid3-cod-health-facilities-v8-0/abou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ata.grid3.org/maps/a3db539c0fae4c05aed92ed67e11fe2b/about" TargetMode="External"/><Relationship Id="rId14" Type="http://schemas.openxmlformats.org/officeDocument/2006/relationships/hyperlink" Target="https://insp.cd/ebola-17eme-epidemi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1005</Words>
  <Characters>5729</Characters>
  <Application>Microsoft Office Word</Application>
  <DocSecurity>0</DocSecurity>
  <Lines>47</Lines>
  <Paragraphs>13</Paragraphs>
  <ScaleCrop>false</ScaleCrop>
  <Company/>
  <LinksUpToDate>false</LinksUpToDate>
  <CharactersWithSpaces>6721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Scarpino</dc:creator>
  <cp:keywords/>
  <dc:description/>
  <cp:lastModifiedBy>Ciara Judge</cp:lastModifiedBy>
  <cp:revision>19</cp:revision>
  <dcterms:created xsi:type="dcterms:W3CDTF">2026-05-25T14:43:00Z</dcterms:created>
  <dcterms:modified xsi:type="dcterms:W3CDTF">2026-06-04T13:19:00Z</dcterms:modified>
</cp:coreProperties>
</file>