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CCA0" w14:textId="77777777" w:rsidR="00AD2EF1" w:rsidRPr="00AD2EF1" w:rsidRDefault="00AD2EF1" w:rsidP="00D31C95">
      <w:pPr>
        <w:pStyle w:val="Heading1"/>
        <w:rPr>
          <w:rFonts w:eastAsia="Times New Roman"/>
        </w:rPr>
      </w:pPr>
      <w:r w:rsidRPr="00AD2EF1">
        <w:rPr>
          <w:rFonts w:eastAsia="Times New Roman"/>
        </w:rPr>
        <w:t>Contributors</w:t>
      </w:r>
    </w:p>
    <w:p w14:paraId="3341F97B" w14:textId="0DF22E8A" w:rsidR="00AD2EF1" w:rsidRPr="00AD2EF1" w:rsidRDefault="00816937" w:rsidP="00AD2EF1">
      <w:pPr>
        <w:spacing w:after="20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work is led by the </w:t>
      </w:r>
      <w:proofErr w:type="spellStart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</w:t>
      </w:r>
      <w:proofErr w:type="spellEnd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National de Santé </w:t>
      </w:r>
      <w:proofErr w:type="spellStart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Publique</w:t>
      </w:r>
      <w:proofErr w:type="spellEnd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(INSP) (Pierre Akilimali, Adelard Lofungola)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and </w:t>
      </w:r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</w:t>
      </w:r>
      <w:proofErr w:type="spellStart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</w:t>
      </w:r>
      <w:proofErr w:type="spellEnd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National de Recherche </w:t>
      </w:r>
      <w:proofErr w:type="spellStart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Biomédicale</w:t>
      </w:r>
      <w:proofErr w:type="spellEnd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(INRB) Kinshasa/One Health Institute for Africa (INOHA) Kinshasa (Dav Ebengo, Placide Mbala-</w:t>
      </w:r>
      <w:proofErr w:type="spellStart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Kingebeni</w:t>
      </w:r>
      <w:proofErr w:type="spellEnd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Tania </w:t>
      </w:r>
      <w:proofErr w:type="spellStart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Bishola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collaboration with the </w:t>
      </w:r>
      <w:proofErr w:type="spellStart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AfricaCDC</w:t>
      </w:r>
      <w:proofErr w:type="spellEnd"/>
      <w:r w:rsidRPr="008169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partners across the University of Oxford and Northeastern University; please contact dav.ebengo@umie-inrb.org or pierre.akilimali@insp.cd for further information.</w:t>
      </w:r>
    </w:p>
    <w:p w14:paraId="050CB7FB" w14:textId="77777777" w:rsidR="00AD2EF1" w:rsidRPr="00AD2EF1" w:rsidRDefault="00AD2EF1" w:rsidP="00D31C95">
      <w:pPr>
        <w:pStyle w:val="Heading2"/>
        <w:rPr>
          <w:rFonts w:eastAsia="Times New Roman"/>
        </w:rPr>
      </w:pPr>
      <w:r w:rsidRPr="00AD2EF1">
        <w:rPr>
          <w:rFonts w:eastAsia="Times New Roman"/>
        </w:rPr>
        <w:t>Data</w:t>
      </w:r>
    </w:p>
    <w:p w14:paraId="53FAD8EC" w14:textId="77777777" w:rsidR="00AD2EF1" w:rsidRPr="00AD2EF1" w:rsidRDefault="00AD2EF1" w:rsidP="00AD2EF1">
      <w:pPr>
        <w:spacing w:after="20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entire dashboard was built using open-access, publicly available data.</w:t>
      </w:r>
    </w:p>
    <w:p w14:paraId="5960AD2D" w14:textId="77777777" w:rsidR="00AD2EF1" w:rsidRPr="00D31C95" w:rsidRDefault="00AD2EF1" w:rsidP="00D31C95">
      <w:pPr>
        <w:pStyle w:val="Heading3"/>
        <w:rPr>
          <w:rFonts w:eastAsia="Times New Roman"/>
        </w:rPr>
      </w:pPr>
      <w:r w:rsidRPr="00D31C95">
        <w:rPr>
          <w:rFonts w:eastAsia="Times New Roman"/>
        </w:rPr>
        <w:t>Data sources</w:t>
      </w:r>
    </w:p>
    <w:p w14:paraId="6CE07036" w14:textId="77777777" w:rsidR="00AD2EF1" w:rsidRDefault="00AD2EF1" w:rsidP="00AD2EF1">
      <w:pPr>
        <w:spacing w:after="20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1C95">
        <w:rPr>
          <w:rStyle w:val="Heading4Char"/>
        </w:rPr>
        <w:t>Data:</w:t>
      </w:r>
      <w:r w:rsidR="006D2CF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4" w:history="1">
        <w:r w:rsidR="006D2CF8" w:rsidRPr="0099702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https://github.com/INRB-UMIE/Ebola_DRC_2026</w:t>
        </w:r>
      </w:hyperlink>
    </w:p>
    <w:p w14:paraId="793DB1CA" w14:textId="77777777" w:rsidR="00AD2EF1" w:rsidRPr="00AD2EF1" w:rsidRDefault="00AD2EF1" w:rsidP="00AD2EF1">
      <w:pPr>
        <w:spacing w:after="20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Administrative boundaries are the DRC Ministry of Health zones de santé (519 zones) based on publicly available shape files from the </w:t>
      </w:r>
      <w:hyperlink r:id="rId5" w:history="1">
        <w:r w:rsidRPr="00AD2EF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Humanitarian Data Exchange</w:t>
        </w:r>
      </w:hyperlink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joined to a separate set of 300-dimensional </w:t>
      </w:r>
      <w:hyperlink r:id="rId6" w:history="1">
        <w:r w:rsidRPr="00AD2EF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Population Dynamics Foundation Model</w:t>
        </w:r>
      </w:hyperlink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(PDFM) embeddings (520 zones) via DHIS2 codes</w:t>
      </w:r>
      <w:r w:rsidR="00FB2A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7" w:history="1">
        <w:proofErr w:type="spellStart"/>
        <w:r w:rsidRPr="00AD2EF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OpenStreatMaps</w:t>
        </w:r>
        <w:proofErr w:type="spellEnd"/>
      </w:hyperlink>
      <w:r w:rsidR="00FB2A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reference IDs</w:t>
      </w: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EDA7B0F" w14:textId="77777777" w:rsidR="00AD2EF1" w:rsidRPr="00AD2EF1" w:rsidRDefault="00AD2EF1" w:rsidP="00AD2EF1">
      <w:pPr>
        <w:spacing w:after="20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Per-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</w:t>
      </w: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populations are sums of the </w:t>
      </w:r>
      <w:hyperlink r:id="rId8" w:history="1">
        <w:r w:rsidRPr="00AD2EF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GRID3 v4.4 population raster</w:t>
        </w:r>
      </w:hyperlink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spatial resolution of 3 </w:t>
      </w:r>
      <w:proofErr w:type="gramStart"/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arc-seconds</w:t>
      </w:r>
      <w:proofErr w:type="gramEnd"/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</w:t>
      </w: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100-metre grid cells) within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boundary of each region per the HDX</w:t>
      </w: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shapefile. Health-facility counts come from </w:t>
      </w:r>
      <w:hyperlink r:id="rId9" w:history="1">
        <w:r w:rsidRPr="00AD2EF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GRID3 COD - Health Facilities v8.0</w:t>
        </w:r>
      </w:hyperlink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joined by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DHIS2 codes</w:t>
      </w: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Refugee/IDP site locations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pulled from </w:t>
      </w:r>
      <w:hyperlink r:id="rId10" w:history="1">
        <w:r w:rsidRPr="00AD2EF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OpenStreetMap</w:t>
        </w:r>
      </w:hyperlink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via Overpass.</w:t>
      </w:r>
    </w:p>
    <w:p w14:paraId="2EAFBED9" w14:textId="730F664F" w:rsidR="00AD2EF1" w:rsidRPr="00AD2EF1" w:rsidRDefault="00AD2EF1" w:rsidP="00AD2EF1">
      <w:pPr>
        <w:spacing w:after="20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Pairwise driving travel times are obtained from the public </w:t>
      </w:r>
      <w:hyperlink r:id="rId11" w:history="1">
        <w:r w:rsidRPr="00E620A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OSRM</w:t>
        </w:r>
      </w:hyperlink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service</w:t>
      </w:r>
      <w:r w:rsidR="00647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Pairwise great-circle (haversine) distances are computed directly from the health zone centroids. </w:t>
      </w:r>
      <w:r w:rsidR="00BB34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PCR testing capacity data was made available by </w:t>
      </w:r>
      <w:hyperlink r:id="rId12" w:history="1">
        <w:proofErr w:type="spellStart"/>
        <w:r w:rsidR="00BB34CA" w:rsidRPr="00BB34CA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AfricaCDC</w:t>
        </w:r>
        <w:proofErr w:type="spellEnd"/>
      </w:hyperlink>
      <w:r w:rsidR="00BB34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Outbreak</w:t>
      </w:r>
      <w:proofErr w:type="spellEnd"/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counts (suspected/confirmed cases and deaths) are extracted from the </w:t>
      </w:r>
      <w:r w:rsidR="00E620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latest </w:t>
      </w:r>
      <w:hyperlink r:id="rId13" w:history="1">
        <w:r w:rsidR="00E620A4" w:rsidRPr="00F676E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INSP sit</w:t>
        </w:r>
        <w:r w:rsidR="0084033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 xml:space="preserve"> r</w:t>
        </w:r>
        <w:r w:rsidR="00E620A4" w:rsidRPr="00F676E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ep</w:t>
        </w:r>
      </w:hyperlink>
      <w:r w:rsidRPr="00AD2E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BB34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273960DA" w14:textId="77777777" w:rsidR="00AD2EF1" w:rsidRPr="00AD2EF1" w:rsidRDefault="00AD2EF1" w:rsidP="00AD2EF1">
      <w:pPr>
        <w:spacing w:after="20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F4552C0" w14:textId="77777777" w:rsidR="00AD2EF1" w:rsidRPr="00D31C95" w:rsidRDefault="00AD2EF1" w:rsidP="00D31C95">
      <w:pPr>
        <w:pStyle w:val="Heading2"/>
        <w:rPr>
          <w:rFonts w:eastAsia="Times New Roman"/>
        </w:rPr>
      </w:pPr>
      <w:r w:rsidRPr="00D31C95">
        <w:rPr>
          <w:rFonts w:eastAsia="Times New Roman"/>
        </w:rPr>
        <w:t>Methods</w:t>
      </w:r>
    </w:p>
    <w:p w14:paraId="01847B80" w14:textId="77777777" w:rsidR="00AD2EF1" w:rsidRDefault="00AD2EF1" w:rsidP="00D31C95">
      <w:pPr>
        <w:pStyle w:val="Heading3"/>
        <w:rPr>
          <w:rFonts w:eastAsia="Times New Roman"/>
        </w:rPr>
      </w:pPr>
      <w:r w:rsidRPr="00AD2EF1">
        <w:rPr>
          <w:rFonts w:eastAsia="Times New Roman"/>
        </w:rPr>
        <w:t>Risk assessment via stochastic metapopulation SEIR modeling</w:t>
      </w:r>
    </w:p>
    <w:p w14:paraId="62CC075B" w14:textId="77777777" w:rsidR="00A41A68" w:rsidRPr="00A41A68" w:rsidRDefault="00A41A68" w:rsidP="00A41A68">
      <w:pPr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 implemented a discrete-time tau-leap Susceptible Exposed Infectious Removed (SEIR) metapopulation model that allows for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overdispersed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transmission. We partitioned DRC into 519 health zones. Each zone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treated as its own well-mixed sub-population with a fixed total population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(from GRID3 v4.4) and its own per-zone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S_i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E_i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I_i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R_i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compartments. Zones interact through a mobility kernel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The state evolves in discrete daily time steps. At each step, every susceptible in zone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has a probability 1 − </w:t>
      </w:r>
      <w:proofErr w:type="gram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exp(</w:t>
      </w:r>
      <w:proofErr w:type="gram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−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λ_i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Δt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of becoming exposed, with the per-zone force of infection</w:t>
      </w:r>
    </w:p>
    <w:p w14:paraId="4843122A" w14:textId="77777777" w:rsidR="00A41A68" w:rsidRPr="00A41A68" w:rsidRDefault="00A41A68" w:rsidP="00A41A68">
      <w:pPr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</w:t>
      </w: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λ_i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(1 − ε) ·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B_i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</w:t>
      </w:r>
      <w:proofErr w:type="gram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+</w:t>
      </w:r>
      <w:proofErr w:type="gram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 ε ·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Σ_j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·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B_j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01CA282" w14:textId="77777777" w:rsidR="00A41A68" w:rsidRPr="00A41A68" w:rsidRDefault="00A41A68" w:rsidP="00A41A68">
      <w:pPr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where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B_i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the summed per-individual transmission rate over all infectious cohorts currently in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I_i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and a mixing parameter ε </w:t>
      </w:r>
      <w:r w:rsidRPr="00A41A68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[0, 1] sets the fraction of contacts drawn from outside the zone. Individuals exit the latent period (E→I) following a gamma-distribution with mean 10 days and shape parameter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n_E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2 (coefficient of variation ≈ 0.71). We implement the gamma distribution by splitting E into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n_E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sequential exponential sub-stages each with rate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n_E·σ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where σ = 1/(10 days), such that the total time governing the E→I transition is Erlang(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n_E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n_E·σ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~ Gamma(shape=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n_E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mean=10 d). The infectious period (I→R) is assumed to be exponential with a mean of 7 days.</w:t>
      </w:r>
    </w:p>
    <w:p w14:paraId="7593397A" w14:textId="77777777" w:rsidR="00A41A68" w:rsidRPr="00A41A68" w:rsidRDefault="00A41A68" w:rsidP="00A41A68">
      <w:pPr>
        <w:spacing w:after="20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Overdispersion is implemented at the individual level such that rate β_j is drawn from </w:t>
      </w:r>
      <w:proofErr w:type="gram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Gamma(</w:t>
      </w:r>
      <w:proofErr w:type="gram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k, R0/(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k·D_inf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)) when a transition happens from E→I. The result is that the per-individual distribution of secondary infections is roughly </w:t>
      </w:r>
      <w:proofErr w:type="spellStart"/>
      <w:proofErr w:type="gram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NegBinom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R0, k). Individuals </w:t>
      </w:r>
      <w:proofErr w:type="gram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entering</w:t>
      </w:r>
      <w:proofErr w:type="gram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 in the same time step are tracked as a cohort, and recoveries split the cohort's transmission rate exactly via the Beta thinning identity Gamma(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a+b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→ </w:t>
      </w:r>
      <w:proofErr w:type="gram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Beta(</w:t>
      </w:r>
      <w:proofErr w:type="gram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a, b)-fraction.</w:t>
      </w:r>
    </w:p>
    <w:p w14:paraId="2C10FEDF" w14:textId="77777777" w:rsidR="00A41A68" w:rsidRPr="00A41A68" w:rsidRDefault="00A41A68" w:rsidP="00A41A68">
      <w:pPr>
        <w:spacing w:after="20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Between-zone coupling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 row-normalized convex combination of three independently constructed components. Each component is a normalized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origin→destination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matrix. The three components are a long-range gravity model, short-range gravity model, and empirical flow model. We use driving times to calibrate the gravity models and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Flowminder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for empirical flows and combine them such that  </w:t>
      </w:r>
    </w:p>
    <w:p w14:paraId="230E8D1A" w14:textId="77777777" w:rsidR="00A41A68" w:rsidRPr="00A41A68" w:rsidRDefault="00A41A68" w:rsidP="00A41A68">
      <w:pPr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M_gravity_ij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(1 −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w_short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·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M_long_</w:t>
      </w:r>
      <w:proofErr w:type="gram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+</w:t>
      </w:r>
      <w:proofErr w:type="gram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w_short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·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M_short_ij</w:t>
      </w:r>
      <w:proofErr w:type="spellEnd"/>
    </w:p>
    <w:p w14:paraId="0047DAFE" w14:textId="77777777" w:rsidR="00A41A68" w:rsidRPr="00A41A68" w:rsidRDefault="00A41A68" w:rsidP="00A41A68">
      <w:pPr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if row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has empirical outflow:</w:t>
      </w:r>
    </w:p>
    <w:p w14:paraId="5FA8ECC2" w14:textId="77777777" w:rsidR="00A41A68" w:rsidRPr="00A41A68" w:rsidRDefault="00A41A68" w:rsidP="00A41A68">
      <w:pPr>
        <w:spacing w:after="20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(1 −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w_emp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·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M_gravity_</w:t>
      </w:r>
      <w:proofErr w:type="gram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+</w:t>
      </w:r>
      <w:proofErr w:type="gram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w_emp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·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M_emp_ij</w:t>
      </w:r>
      <w:proofErr w:type="spellEnd"/>
    </w:p>
    <w:p w14:paraId="6E8FA7F1" w14:textId="77777777" w:rsidR="00A41A68" w:rsidRPr="00A41A68" w:rsidRDefault="00A41A68" w:rsidP="00A41A68">
      <w:pPr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else:</w:t>
      </w:r>
    </w:p>
    <w:p w14:paraId="182AAC22" w14:textId="77777777" w:rsidR="00A41A68" w:rsidRPr="00A41A68" w:rsidRDefault="00A41A68" w:rsidP="00A41A68">
      <w:pPr>
        <w:spacing w:after="20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M_gravity_ij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381A5743" w14:textId="77777777" w:rsidR="00A41A68" w:rsidRPr="00A41A68" w:rsidRDefault="00A41A68" w:rsidP="00A41A68">
      <w:pPr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M_long_ij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^α  ·  exp(−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scale_long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 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M_short_ij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·  exp(−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scale_short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α is the gravity model exponent,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scale_long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scale_short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are normalization factors,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M_emp_ij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are the empirical movements,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w_emp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weighting factor, and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D_ij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the pairwise distance, and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N_j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destination population.</w:t>
      </w:r>
    </w:p>
    <w:p w14:paraId="10495041" w14:textId="0D78072A" w:rsidR="000A4A78" w:rsidRPr="00A41A68" w:rsidRDefault="00A41A68" w:rsidP="00A41A68">
      <w:pPr>
        <w:spacing w:after="20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 consider </w:t>
      </w:r>
      <w:r w:rsidR="005003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range of</w:t>
      </w:r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different initial conditions. From each set of initial conditions, an outbreak is simulated forward to the date of the latest situation report. We compute the per-zone reporting rate such that the observed case fatality rate is 30%. We run a grid search over R0 × k × ε × and </w:t>
      </w:r>
      <w:proofErr w:type="spellStart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emp_w</w:t>
      </w:r>
      <w:proofErr w:type="spellEnd"/>
      <w:r w:rsidRPr="00A41A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Each combination is run 1,000 times via stochastic simulation. Scoring is log-RMSE between the observed and reporting-rate-scaled simulated case counts. We pool across initial conditions and parameters using Approximate Bayesian Computation to identify an overall most-favored scenario and calculate credible intervals.</w:t>
      </w:r>
    </w:p>
    <w:sectPr w:rsidR="000A4A78" w:rsidRPr="00A41A68" w:rsidSect="004B4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28"/>
    <w:rsid w:val="000A4A78"/>
    <w:rsid w:val="00175F62"/>
    <w:rsid w:val="004B4B6A"/>
    <w:rsid w:val="004F4AB8"/>
    <w:rsid w:val="005003AD"/>
    <w:rsid w:val="005D65D0"/>
    <w:rsid w:val="0064764C"/>
    <w:rsid w:val="00665CF3"/>
    <w:rsid w:val="006A2CA2"/>
    <w:rsid w:val="006D2CF8"/>
    <w:rsid w:val="007D7AD5"/>
    <w:rsid w:val="007E572B"/>
    <w:rsid w:val="007F4C2C"/>
    <w:rsid w:val="00816937"/>
    <w:rsid w:val="00840335"/>
    <w:rsid w:val="00A41A68"/>
    <w:rsid w:val="00AD2EF1"/>
    <w:rsid w:val="00BB34CA"/>
    <w:rsid w:val="00D11590"/>
    <w:rsid w:val="00D31C95"/>
    <w:rsid w:val="00D373D1"/>
    <w:rsid w:val="00E620A4"/>
    <w:rsid w:val="00E62361"/>
    <w:rsid w:val="00EB3328"/>
    <w:rsid w:val="00EC09EE"/>
    <w:rsid w:val="00F676E2"/>
    <w:rsid w:val="00FB2A30"/>
    <w:rsid w:val="00FC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44610"/>
  <w15:chartTrackingRefBased/>
  <w15:docId w15:val="{FCDE0C11-85AA-804D-A8BA-000FF69E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3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3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EB3328"/>
  </w:style>
  <w:style w:type="character" w:styleId="Hyperlink">
    <w:name w:val="Hyperlink"/>
    <w:basedOn w:val="DefaultParagraphFont"/>
    <w:uiPriority w:val="99"/>
    <w:unhideWhenUsed/>
    <w:rsid w:val="00AD2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E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69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rid3.org/maps/a3db539c0fae4c05aed92ed67e11fe2b/about" TargetMode="External"/><Relationship Id="rId13" Type="http://schemas.openxmlformats.org/officeDocument/2006/relationships/hyperlink" Target="https://insp.cd/ebola-17eme-epidemi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penstreetmap.org/" TargetMode="External"/><Relationship Id="rId12" Type="http://schemas.openxmlformats.org/officeDocument/2006/relationships/hyperlink" Target="https://au.int/fr/africacd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search.google/blog/insights-into-population-dynamics-a-foundation-model-for-geospatial-inference/" TargetMode="External"/><Relationship Id="rId11" Type="http://schemas.openxmlformats.org/officeDocument/2006/relationships/hyperlink" Target="https://project-osrm.org/" TargetMode="External"/><Relationship Id="rId5" Type="http://schemas.openxmlformats.org/officeDocument/2006/relationships/hyperlink" Target="https://data.humdata.org/dataset/drc-health-data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iki.openstreetmap.org/wiki/Refugee/Displaced_Site_Mapping" TargetMode="External"/><Relationship Id="rId4" Type="http://schemas.openxmlformats.org/officeDocument/2006/relationships/hyperlink" Target="https://github.com/INRB-UMIE/Ebola_DRC_2026" TargetMode="External"/><Relationship Id="rId9" Type="http://schemas.openxmlformats.org/officeDocument/2006/relationships/hyperlink" Target="https://data.grid3.org/datasets/GRID3::grid3-cod-health-facilities-v8-0/abou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Scarpino</dc:creator>
  <cp:keywords/>
  <dc:description/>
  <cp:lastModifiedBy>Sam Scarpino</cp:lastModifiedBy>
  <cp:revision>17</cp:revision>
  <dcterms:created xsi:type="dcterms:W3CDTF">2026-05-25T14:43:00Z</dcterms:created>
  <dcterms:modified xsi:type="dcterms:W3CDTF">2026-05-26T19:26:00Z</dcterms:modified>
</cp:coreProperties>
</file>