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626"/>
          <w:sz w:val="26"/>
        </w:rPr>
        <w:t>BENNETT UNIVERSITY</w:t>
      </w:r>
    </w:p>
    <w:p>
      <w:pPr>
        <w:jc w:val="center"/>
      </w:pPr>
      <w:r>
        <w:rPr>
          <w:b w:val="0"/>
          <w:color w:val="141626"/>
          <w:sz w:val="21"/>
        </w:rPr>
        <w:t>School of Computing Science and Technology</w:t>
      </w:r>
    </w:p>
    <w:p>
      <w:pPr>
        <w:jc w:val="center"/>
      </w:pPr>
      <w:r>
        <w:rPr>
          <w:b w:val="0"/>
          <w:color w:val="141626"/>
          <w:sz w:val="21"/>
        </w:rPr>
        <w:t>CBCA301 — Capstone Project</w:t>
      </w:r>
    </w:p>
    <w:p>
      <w:pPr>
        <w:jc w:val="center"/>
      </w:pPr>
      <w:r>
        <w:rPr>
          <w:b/>
          <w:color w:val="1A2199"/>
          <w:sz w:val="36"/>
        </w:rPr>
        <w:t>Milestone-2: Design Inputs, Evidence and Ownership</w:t>
      </w:r>
    </w:p>
    <w:p>
      <w:pPr>
        <w:jc w:val="center"/>
      </w:pPr>
      <w:r>
        <w:rPr>
          <w:i/>
          <w:sz w:val="22"/>
        </w:rPr>
        <w:t>OrderOrder — An Agent-Based Citation Integrity System for Indian Jurisprudence</w:t>
      </w:r>
    </w:p>
    <w:p/>
    <w:tbl>
      <w:tblPr>
        <w:tblStyle w:val="TableGrid"/>
        <w:tblW w:type="auto" w:w="0"/>
        <w:jc w:val="center"/>
        <w:tblLook w:firstColumn="1" w:firstRow="1" w:lastColumn="0" w:lastRow="0" w:noHBand="0" w:noVBand="1" w:val="04A0"/>
      </w:tblPr>
      <w:tblGrid>
        <w:gridCol w:w="4819"/>
        <w:gridCol w:w="4819"/>
      </w:tblGrid>
      <w:tr>
        <w:tc>
          <w:tcPr>
            <w:tcW w:type="dxa" w:w="2381"/>
            <w:shd w:val="clear" w:color="auto" w:fill="1A2199"/>
          </w:tcPr>
          <w:p>
            <w:r/>
            <w:r>
              <w:rPr>
                <w:b/>
                <w:color w:val="FFFFFF"/>
                <w:sz w:val="19"/>
              </w:rPr>
              <w:t>Item</w:t>
            </w:r>
          </w:p>
        </w:tc>
        <w:tc>
          <w:tcPr>
            <w:tcW w:type="dxa" w:w="7257"/>
            <w:shd w:val="clear" w:color="auto" w:fill="1A2199"/>
          </w:tcPr>
          <w:p>
            <w:r/>
            <w:r>
              <w:rPr>
                <w:b/>
                <w:color w:val="FFFFFF"/>
                <w:sz w:val="19"/>
              </w:rPr>
              <w:t>Detail</w:t>
            </w:r>
          </w:p>
        </w:tc>
      </w:tr>
      <w:tr>
        <w:tc>
          <w:tcPr>
            <w:tcW w:type="dxa" w:w="2381"/>
          </w:tcPr>
          <w:p>
            <w:r/>
            <w:r>
              <w:rPr>
                <w:sz w:val="19"/>
              </w:rPr>
              <w:t>Group ID</w:t>
            </w:r>
          </w:p>
        </w:tc>
        <w:tc>
          <w:tcPr>
            <w:tcW w:type="dxa" w:w="7257"/>
          </w:tcPr>
          <w:p>
            <w:r/>
            <w:r>
              <w:rPr>
                <w:sz w:val="19"/>
              </w:rPr>
              <w:t>44</w:t>
            </w:r>
          </w:p>
        </w:tc>
      </w:tr>
      <w:tr>
        <w:tc>
          <w:tcPr>
            <w:tcW w:type="dxa" w:w="2381"/>
          </w:tcPr>
          <w:p>
            <w:r/>
            <w:r>
              <w:rPr>
                <w:sz w:val="19"/>
              </w:rPr>
              <w:t>Team members</w:t>
            </w:r>
          </w:p>
        </w:tc>
        <w:tc>
          <w:tcPr>
            <w:tcW w:type="dxa" w:w="7257"/>
          </w:tcPr>
          <w:p>
            <w:r/>
            <w:r>
              <w:rPr>
                <w:sz w:val="19"/>
              </w:rPr>
              <w:t>Afjal Hussein (S24BCAU0171), Arush Pratap Sharma (S24BCAU0161), Ayush Kumar (S24BCAU0103)</w:t>
            </w:r>
          </w:p>
        </w:tc>
      </w:tr>
      <w:tr>
        <w:tc>
          <w:tcPr>
            <w:tcW w:type="dxa" w:w="2381"/>
          </w:tcPr>
          <w:p>
            <w:r/>
            <w:r>
              <w:rPr>
                <w:sz w:val="19"/>
              </w:rPr>
              <w:t>Mentor</w:t>
            </w:r>
          </w:p>
        </w:tc>
        <w:tc>
          <w:tcPr>
            <w:tcW w:type="dxa" w:w="7257"/>
          </w:tcPr>
          <w:p>
            <w:r/>
            <w:r>
              <w:rPr>
                <w:sz w:val="19"/>
              </w:rPr>
              <w:t>Professor Vicky Vikrant</w:t>
            </w:r>
          </w:p>
        </w:tc>
      </w:tr>
      <w:tr>
        <w:tc>
          <w:tcPr>
            <w:tcW w:type="dxa" w:w="2381"/>
          </w:tcPr>
          <w:p>
            <w:r/>
            <w:r>
              <w:rPr>
                <w:sz w:val="19"/>
              </w:rPr>
              <w:t>Technology / paradigm</w:t>
            </w:r>
          </w:p>
        </w:tc>
        <w:tc>
          <w:tcPr>
            <w:tcW w:type="dxa" w:w="7257"/>
          </w:tcPr>
          <w:p>
            <w:r/>
            <w:r>
              <w:rPr>
                <w:sz w:val="19"/>
              </w:rPr>
              <w:t>T3 — Agentic AI (secondary: T6 AI-Native computing)</w:t>
            </w:r>
          </w:p>
        </w:tc>
      </w:tr>
      <w:tr>
        <w:tc>
          <w:tcPr>
            <w:tcW w:type="dxa" w:w="2381"/>
          </w:tcPr>
          <w:p>
            <w:r/>
            <w:r>
              <w:rPr>
                <w:sz w:val="19"/>
              </w:rPr>
              <w:t>SDG mapping</w:t>
            </w:r>
          </w:p>
        </w:tc>
        <w:tc>
          <w:tcPr>
            <w:tcW w:type="dxa" w:w="7257"/>
          </w:tcPr>
          <w:p>
            <w:r/>
            <w:r>
              <w:rPr>
                <w:sz w:val="19"/>
              </w:rPr>
              <w:t>SDG 16 (16.3, 16.6) primary; SDG 4 (4.4) secondary</w:t>
            </w:r>
          </w:p>
        </w:tc>
      </w:tr>
      <w:tr>
        <w:tc>
          <w:tcPr>
            <w:tcW w:type="dxa" w:w="2381"/>
          </w:tcPr>
          <w:p>
            <w:r/>
            <w:r>
              <w:rPr>
                <w:sz w:val="19"/>
              </w:rPr>
              <w:t>Scope of this document</w:t>
            </w:r>
          </w:p>
        </w:tc>
        <w:tc>
          <w:tcPr>
            <w:tcW w:type="dxa" w:w="7257"/>
          </w:tcPr>
          <w:p>
            <w:r/>
            <w:r>
              <w:rPr>
                <w:sz w:val="19"/>
              </w:rPr>
              <w:t>M2 design diagrams; corrected corpus figures; WBS with named owners</w:t>
            </w:r>
          </w:p>
        </w:tc>
      </w:tr>
      <w:tr>
        <w:tc>
          <w:tcPr>
            <w:tcW w:type="dxa" w:w="2381"/>
          </w:tcPr>
          <w:p>
            <w:r/>
            <w:r>
              <w:rPr>
                <w:sz w:val="19"/>
              </w:rPr>
              <w:t>Academic session</w:t>
            </w:r>
          </w:p>
        </w:tc>
        <w:tc>
          <w:tcPr>
            <w:tcW w:type="dxa" w:w="7257"/>
          </w:tcPr>
          <w:p>
            <w:r/>
            <w:r>
              <w:rPr>
                <w:sz w:val="19"/>
              </w:rPr>
              <w:t>2026-27, Semester V, BCA</w:t>
            </w:r>
          </w:p>
        </w:tc>
      </w:tr>
    </w:tbl>
    <w:p/>
    <w:p>
      <w:pPr>
        <w:pStyle w:val="Heading1"/>
      </w:pPr>
      <w:r>
        <w:rPr>
          <w:color w:val="1A2199"/>
        </w:rPr>
        <w:t>1. Design diagrams</w:t>
      </w:r>
    </w:p>
    <w:p>
      <w:r>
        <w:t>The five diagrams below are the design record for the system as built, not a plan drawn before it. Every element corresponds to a module in the repository: the use cases to the eight checks, the data flows to the ingestion and verification commands, the class diagram to the SQLite schema that is populated with 38,032 judgments, and the sequence diagram to the order in which the verification graph actually calls its nodes. Each figure is supplied as an editable .drawio source beside it, under docs/diagrams/.</w:t>
      </w:r>
    </w:p>
    <w:p>
      <w:pPr>
        <w:spacing w:after="80"/>
        <w:jc w:val="center"/>
      </w:pPr>
      <w:r>
        <w:drawing>
          <wp:inline xmlns:a="http://schemas.openxmlformats.org/drawingml/2006/main" xmlns:pic="http://schemas.openxmlformats.org/drawingml/2006/picture">
            <wp:extent cx="6120000" cy="3935160"/>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6120000" cy="3935160"/>
                    </a:xfrm>
                    <a:prstGeom prst="rect"/>
                  </pic:spPr>
                </pic:pic>
              </a:graphicData>
            </a:graphic>
          </wp:inline>
        </w:drawing>
      </w:r>
    </w:p>
    <w:p>
      <w:pPr>
        <w:spacing w:after="280"/>
        <w:jc w:val="center"/>
      </w:pPr>
      <w:r>
        <w:rPr>
          <w:i/>
          <w:color w:val="5F627A"/>
          <w:sz w:val="18"/>
        </w:rPr>
        <w:t>Figure 1 — Use-case diagram. Two actors initiate work: the advocate or student, and the corpus administrator. Verifying a brief includes the seven checks that decide it; only the extent-of-support check reaches a language model, and its answer must quote the judgment to count.</w:t>
      </w:r>
    </w:p>
    <w:p>
      <w:pPr>
        <w:spacing w:after="80"/>
        <w:jc w:val="center"/>
      </w:pPr>
      <w:r>
        <w:drawing>
          <wp:inline xmlns:a="http://schemas.openxmlformats.org/drawingml/2006/main" xmlns:pic="http://schemas.openxmlformats.org/drawingml/2006/picture">
            <wp:extent cx="6120000" cy="2708100"/>
            <wp:docPr id="2" name="Picture 2"/>
            <wp:cNvGraphicFramePr>
              <a:graphicFrameLocks noChangeAspect="1"/>
            </wp:cNvGraphicFramePr>
            <a:graphic>
              <a:graphicData uri="http://schemas.openxmlformats.org/drawingml/2006/picture">
                <pic:pic>
                  <pic:nvPicPr>
                    <pic:cNvPr id="0" name="dfd-level-0.png"/>
                    <pic:cNvPicPr/>
                  </pic:nvPicPr>
                  <pic:blipFill>
                    <a:blip r:embed="rId10"/>
                    <a:stretch>
                      <a:fillRect/>
                    </a:stretch>
                  </pic:blipFill>
                  <pic:spPr>
                    <a:xfrm>
                      <a:off x="0" y="0"/>
                      <a:ext cx="6120000" cy="2708100"/>
                    </a:xfrm>
                    <a:prstGeom prst="rect"/>
                  </pic:spPr>
                </pic:pic>
              </a:graphicData>
            </a:graphic>
          </wp:inline>
        </w:drawing>
      </w:r>
    </w:p>
    <w:p>
      <w:pPr>
        <w:spacing w:after="280"/>
        <w:jc w:val="center"/>
      </w:pPr>
      <w:r>
        <w:rPr>
          <w:i/>
          <w:color w:val="5F627A"/>
          <w:sz w:val="18"/>
        </w:rPr>
        <w:t>Figure 2 — Data-flow diagram, level 0 (context). The system as a single process. Note what crosses the boundary: brief text in, a verdict board and memo out, judgment data from AWS Open Data, and schema-bound assessments from the model.</w:t>
      </w:r>
    </w:p>
    <w:p>
      <w:pPr>
        <w:spacing w:after="80"/>
        <w:jc w:val="center"/>
      </w:pPr>
      <w:r>
        <w:drawing>
          <wp:inline xmlns:a="http://schemas.openxmlformats.org/drawingml/2006/main" xmlns:pic="http://schemas.openxmlformats.org/drawingml/2006/picture">
            <wp:extent cx="6120000" cy="3007980"/>
            <wp:docPr id="3" name="Picture 3"/>
            <wp:cNvGraphicFramePr>
              <a:graphicFrameLocks noChangeAspect="1"/>
            </wp:cNvGraphicFramePr>
            <a:graphic>
              <a:graphicData uri="http://schemas.openxmlformats.org/drawingml/2006/picture">
                <pic:pic>
                  <pic:nvPicPr>
                    <pic:cNvPr id="0" name="dfd-level-1.png"/>
                    <pic:cNvPicPr/>
                  </pic:nvPicPr>
                  <pic:blipFill>
                    <a:blip r:embed="rId11"/>
                    <a:stretch>
                      <a:fillRect/>
                    </a:stretch>
                  </pic:blipFill>
                  <pic:spPr>
                    <a:xfrm>
                      <a:off x="0" y="0"/>
                      <a:ext cx="6120000" cy="3007980"/>
                    </a:xfrm>
                    <a:prstGeom prst="rect"/>
                  </pic:spPr>
                </pic:pic>
              </a:graphicData>
            </a:graphic>
          </wp:inline>
        </w:drawing>
      </w:r>
    </w:p>
    <w:p>
      <w:pPr>
        <w:spacing w:after="280"/>
        <w:jc w:val="center"/>
      </w:pPr>
      <w:r>
        <w:rPr>
          <w:i/>
          <w:color w:val="5F627A"/>
          <w:sz w:val="18"/>
        </w:rPr>
        <w:t>Figure 3 — Data-flow diagram, level 1. Five processes over five data stores. Ingestion is the only process that touches the open-data source; verification never writes to the corpus, so a bad check cannot damage the knowledge base.</w:t>
      </w:r>
    </w:p>
    <w:p>
      <w:r>
        <w:br w:type="page"/>
      </w:r>
    </w:p>
    <w:p>
      <w:pPr>
        <w:spacing w:after="80"/>
        <w:jc w:val="center"/>
      </w:pPr>
      <w:r>
        <w:drawing>
          <wp:inline xmlns:a="http://schemas.openxmlformats.org/drawingml/2006/main" xmlns:pic="http://schemas.openxmlformats.org/drawingml/2006/picture">
            <wp:extent cx="6120000" cy="4253400"/>
            <wp:docPr id="4" name="Picture 4"/>
            <wp:cNvGraphicFramePr>
              <a:graphicFrameLocks noChangeAspect="1"/>
            </wp:cNvGraphicFramePr>
            <a:graphic>
              <a:graphicData uri="http://schemas.openxmlformats.org/drawingml/2006/picture">
                <pic:pic>
                  <pic:nvPicPr>
                    <pic:cNvPr id="0" name="class-diagram.png"/>
                    <pic:cNvPicPr/>
                  </pic:nvPicPr>
                  <pic:blipFill>
                    <a:blip r:embed="rId12"/>
                    <a:stretch>
                      <a:fillRect/>
                    </a:stretch>
                  </pic:blipFill>
                  <pic:spPr>
                    <a:xfrm>
                      <a:off x="0" y="0"/>
                      <a:ext cx="6120000" cy="4253400"/>
                    </a:xfrm>
                    <a:prstGeom prst="rect"/>
                  </pic:spPr>
                </pic:pic>
              </a:graphicData>
            </a:graphic>
          </wp:inline>
        </w:drawing>
      </w:r>
    </w:p>
    <w:p>
      <w:pPr>
        <w:spacing w:after="280"/>
        <w:jc w:val="center"/>
      </w:pPr>
      <w:r>
        <w:rPr>
          <w:i/>
          <w:color w:val="5F627A"/>
          <w:sz w:val="18"/>
        </w:rPr>
        <w:t>Figure 4 — UML class diagram of the data spine. Judgment, its citation aliases and its text versions; paragraphs and opinions inside a version; the citation graph that powers treatment checks; and the brief, citation and verdict tables that record what the engine concluded.</w:t>
      </w:r>
    </w:p>
    <w:p>
      <w:pPr>
        <w:spacing w:after="80"/>
        <w:jc w:val="center"/>
      </w:pPr>
      <w:r>
        <w:drawing>
          <wp:inline xmlns:a="http://schemas.openxmlformats.org/drawingml/2006/main" xmlns:pic="http://schemas.openxmlformats.org/drawingml/2006/picture">
            <wp:extent cx="5940000" cy="5206410"/>
            <wp:docPr id="5" name="Picture 5"/>
            <wp:cNvGraphicFramePr>
              <a:graphicFrameLocks noChangeAspect="1"/>
            </wp:cNvGraphicFramePr>
            <a:graphic>
              <a:graphicData uri="http://schemas.openxmlformats.org/drawingml/2006/picture">
                <pic:pic>
                  <pic:nvPicPr>
                    <pic:cNvPr id="0" name="sequence-verify.png"/>
                    <pic:cNvPicPr/>
                  </pic:nvPicPr>
                  <pic:blipFill>
                    <a:blip r:embed="rId13"/>
                    <a:stretch>
                      <a:fillRect/>
                    </a:stretch>
                  </pic:blipFill>
                  <pic:spPr>
                    <a:xfrm>
                      <a:off x="0" y="0"/>
                      <a:ext cx="5940000" cy="5206410"/>
                    </a:xfrm>
                    <a:prstGeom prst="rect"/>
                  </pic:spPr>
                </pic:pic>
              </a:graphicData>
            </a:graphic>
          </wp:inline>
        </w:drawing>
      </w:r>
    </w:p>
    <w:p>
      <w:pPr>
        <w:spacing w:after="280"/>
        <w:jc w:val="center"/>
      </w:pPr>
      <w:r>
        <w:rPr>
          <w:i/>
          <w:color w:val="5F627A"/>
          <w:sz w:val="18"/>
        </w:rPr>
        <w:t>Figure 5 — UML sequence diagram — verifying one brief. Messages 3 to 18 repeat for every citation. The model appears in exactly two of them, and its reply is string-matched against the stored paragraph before any verdict uses it.</w:t>
      </w:r>
    </w:p>
    <w:p>
      <w:r>
        <w:br w:type="page"/>
      </w:r>
    </w:p>
    <w:p>
      <w:pPr>
        <w:pStyle w:val="Heading1"/>
      </w:pPr>
      <w:r>
        <w:rPr>
          <w:color w:val="1A2199"/>
        </w:rPr>
        <w:t>2. Corpus figures</w:t>
      </w:r>
    </w:p>
    <w:p>
      <w:r>
        <w:t>These are measured from the database the tool runs against, not projected. The figures in the Milestone-1 submission were correct for the corpus at that time and are now superseded; the table below is what any later document should quote.</w:t>
      </w:r>
    </w:p>
    <w:tbl>
      <w:tblPr>
        <w:tblStyle w:val="TableGrid"/>
        <w:tblW w:type="auto" w:w="0"/>
        <w:jc w:val="center"/>
        <w:tblLook w:firstColumn="1" w:firstRow="1" w:lastColumn="0" w:lastRow="0" w:noHBand="0" w:noVBand="1" w:val="04A0"/>
      </w:tblPr>
      <w:tblGrid>
        <w:gridCol w:w="3213"/>
        <w:gridCol w:w="3213"/>
        <w:gridCol w:w="3213"/>
      </w:tblGrid>
      <w:tr>
        <w:tc>
          <w:tcPr>
            <w:tcW w:type="dxa" w:w="2608"/>
            <w:shd w:val="clear" w:color="auto" w:fill="1A2199"/>
          </w:tcPr>
          <w:p>
            <w:r/>
            <w:r>
              <w:rPr>
                <w:b/>
                <w:color w:val="FFFFFF"/>
                <w:sz w:val="19"/>
              </w:rPr>
              <w:t>Measure</w:t>
            </w:r>
          </w:p>
        </w:tc>
        <w:tc>
          <w:tcPr>
            <w:tcW w:type="dxa" w:w="5102"/>
            <w:shd w:val="clear" w:color="auto" w:fill="1A2199"/>
          </w:tcPr>
          <w:p>
            <w:r/>
            <w:r>
              <w:rPr>
                <w:b/>
                <w:color w:val="FFFFFF"/>
                <w:sz w:val="19"/>
              </w:rPr>
              <w:t>Value</w:t>
            </w:r>
          </w:p>
        </w:tc>
        <w:tc>
          <w:tcPr>
            <w:tcW w:type="dxa" w:w="1928"/>
            <w:shd w:val="clear" w:color="auto" w:fill="1A2199"/>
          </w:tcPr>
          <w:p>
            <w:r/>
            <w:r>
              <w:rPr>
                <w:b/>
                <w:color w:val="FFFFFF"/>
                <w:sz w:val="19"/>
              </w:rPr>
              <w:t>Source</w:t>
            </w:r>
          </w:p>
        </w:tc>
      </w:tr>
      <w:tr>
        <w:tc>
          <w:tcPr>
            <w:tcW w:type="dxa" w:w="2608"/>
          </w:tcPr>
          <w:p>
            <w:r/>
            <w:r>
              <w:rPr>
                <w:sz w:val="19"/>
              </w:rPr>
              <w:t>Judgments in the corpus</w:t>
            </w:r>
          </w:p>
        </w:tc>
        <w:tc>
          <w:tcPr>
            <w:tcW w:type="dxa" w:w="5102"/>
          </w:tcPr>
          <w:p>
            <w:r/>
            <w:r>
              <w:rPr>
                <w:sz w:val="19"/>
              </w:rPr>
              <w:t>38,032 (all Supreme Court of India)</w:t>
            </w:r>
          </w:p>
        </w:tc>
        <w:tc>
          <w:tcPr>
            <w:tcW w:type="dxa" w:w="1928"/>
          </w:tcPr>
          <w:p>
            <w:r/>
            <w:r>
              <w:rPr>
                <w:sz w:val="19"/>
              </w:rPr>
              <w:t>judgment table</w:t>
            </w:r>
          </w:p>
        </w:tc>
      </w:tr>
      <w:tr>
        <w:tc>
          <w:tcPr>
            <w:tcW w:type="dxa" w:w="2608"/>
          </w:tcPr>
          <w:p>
            <w:r/>
            <w:r>
              <w:rPr>
                <w:sz w:val="19"/>
              </w:rPr>
              <w:t>Judgments with full text</w:t>
            </w:r>
          </w:p>
        </w:tc>
        <w:tc>
          <w:tcPr>
            <w:tcW w:type="dxa" w:w="5102"/>
          </w:tcPr>
          <w:p>
            <w:r/>
            <w:r>
              <w:rPr>
                <w:sz w:val="19"/>
              </w:rPr>
              <w:t>38,005 (99.93%)</w:t>
            </w:r>
          </w:p>
        </w:tc>
        <w:tc>
          <w:tcPr>
            <w:tcW w:type="dxa" w:w="1928"/>
          </w:tcPr>
          <w:p>
            <w:r/>
            <w:r>
              <w:rPr>
                <w:sz w:val="19"/>
              </w:rPr>
              <w:t>judgment_text_version</w:t>
            </w:r>
          </w:p>
        </w:tc>
      </w:tr>
      <w:tr>
        <w:tc>
          <w:tcPr>
            <w:tcW w:type="dxa" w:w="2608"/>
          </w:tcPr>
          <w:p>
            <w:r/>
            <w:r>
              <w:rPr>
                <w:sz w:val="19"/>
              </w:rPr>
              <w:t>Opinions split out</w:t>
            </w:r>
          </w:p>
        </w:tc>
        <w:tc>
          <w:tcPr>
            <w:tcW w:type="dxa" w:w="5102"/>
          </w:tcPr>
          <w:p>
            <w:r/>
            <w:r>
              <w:rPr>
                <w:sz w:val="19"/>
              </w:rPr>
              <w:t>73,192 — majority 38,005 · headnote 34,704 · dissenting 252 · concurring 231</w:t>
            </w:r>
          </w:p>
        </w:tc>
        <w:tc>
          <w:tcPr>
            <w:tcW w:type="dxa" w:w="1928"/>
          </w:tcPr>
          <w:p>
            <w:r/>
            <w:r>
              <w:rPr>
                <w:sz w:val="19"/>
              </w:rPr>
              <w:t>opinion table</w:t>
            </w:r>
          </w:p>
        </w:tc>
      </w:tr>
      <w:tr>
        <w:tc>
          <w:tcPr>
            <w:tcW w:type="dxa" w:w="2608"/>
          </w:tcPr>
          <w:p>
            <w:r/>
            <w:r>
              <w:rPr>
                <w:sz w:val="19"/>
              </w:rPr>
              <w:t>Paragraphs</w:t>
            </w:r>
          </w:p>
        </w:tc>
        <w:tc>
          <w:tcPr>
            <w:tcW w:type="dxa" w:w="5102"/>
          </w:tcPr>
          <w:p>
            <w:r/>
            <w:r>
              <w:rPr>
                <w:sz w:val="19"/>
              </w:rPr>
              <w:t>707,647</w:t>
            </w:r>
          </w:p>
        </w:tc>
        <w:tc>
          <w:tcPr>
            <w:tcW w:type="dxa" w:w="1928"/>
          </w:tcPr>
          <w:p>
            <w:r/>
            <w:r>
              <w:rPr>
                <w:sz w:val="19"/>
              </w:rPr>
              <w:t>paragraph table</w:t>
            </w:r>
          </w:p>
        </w:tc>
      </w:tr>
      <w:tr>
        <w:tc>
          <w:tcPr>
            <w:tcW w:type="dxa" w:w="2608"/>
          </w:tcPr>
          <w:p>
            <w:r/>
            <w:r>
              <w:rPr>
                <w:sz w:val="19"/>
              </w:rPr>
              <w:t>Paragraphs in the full-text index</w:t>
            </w:r>
          </w:p>
        </w:tc>
        <w:tc>
          <w:tcPr>
            <w:tcW w:type="dxa" w:w="5102"/>
          </w:tcPr>
          <w:p>
            <w:r/>
            <w:r>
              <w:rPr>
                <w:sz w:val="19"/>
              </w:rPr>
              <w:t>707,647 (100%)</w:t>
            </w:r>
          </w:p>
        </w:tc>
        <w:tc>
          <w:tcPr>
            <w:tcW w:type="dxa" w:w="1928"/>
          </w:tcPr>
          <w:p>
            <w:r/>
            <w:r>
              <w:rPr>
                <w:sz w:val="19"/>
              </w:rPr>
              <w:t>paragraph_fts (SQLite FTS5)</w:t>
            </w:r>
          </w:p>
        </w:tc>
      </w:tr>
      <w:tr>
        <w:tc>
          <w:tcPr>
            <w:tcW w:type="dxa" w:w="2608"/>
          </w:tcPr>
          <w:p>
            <w:r/>
            <w:r>
              <w:rPr>
                <w:sz w:val="19"/>
              </w:rPr>
              <w:t>Characters of judgment text</w:t>
            </w:r>
          </w:p>
        </w:tc>
        <w:tc>
          <w:tcPr>
            <w:tcW w:type="dxa" w:w="5102"/>
          </w:tcPr>
          <w:p>
            <w:r/>
            <w:r>
              <w:rPr>
                <w:sz w:val="19"/>
              </w:rPr>
              <w:t>1,052,450,760 (≈1.05 billion)</w:t>
            </w:r>
          </w:p>
        </w:tc>
        <w:tc>
          <w:tcPr>
            <w:tcW w:type="dxa" w:w="1928"/>
          </w:tcPr>
          <w:p>
            <w:r/>
            <w:r>
              <w:rPr>
                <w:sz w:val="19"/>
              </w:rPr>
              <w:t>sum(length(body))</w:t>
            </w:r>
          </w:p>
        </w:tc>
      </w:tr>
      <w:tr>
        <w:tc>
          <w:tcPr>
            <w:tcW w:type="dxa" w:w="2608"/>
          </w:tcPr>
          <w:p>
            <w:r/>
            <w:r>
              <w:rPr>
                <w:sz w:val="19"/>
              </w:rPr>
              <w:t>Citation aliases</w:t>
            </w:r>
          </w:p>
        </w:tc>
        <w:tc>
          <w:tcPr>
            <w:tcW w:type="dxa" w:w="5102"/>
          </w:tcPr>
          <w:p>
            <w:r/>
            <w:r>
              <w:rPr>
                <w:sz w:val="19"/>
              </w:rPr>
              <w:t>79,508 — INSC 37,913 · SCR 30,639 · SCC 7,370 · AIR 2,022 · SCC OnLine 458 · SCC-Cri 346</w:t>
            </w:r>
          </w:p>
        </w:tc>
        <w:tc>
          <w:tcPr>
            <w:tcW w:type="dxa" w:w="1928"/>
          </w:tcPr>
          <w:p>
            <w:r/>
            <w:r>
              <w:rPr>
                <w:sz w:val="19"/>
              </w:rPr>
              <w:t>citation_alias</w:t>
            </w:r>
          </w:p>
        </w:tc>
      </w:tr>
      <w:tr>
        <w:tc>
          <w:tcPr>
            <w:tcW w:type="dxa" w:w="2608"/>
          </w:tcPr>
          <w:p>
            <w:r/>
            <w:r>
              <w:rPr>
                <w:sz w:val="19"/>
              </w:rPr>
              <w:t>Citation edges (citator)</w:t>
            </w:r>
          </w:p>
        </w:tc>
        <w:tc>
          <w:tcPr>
            <w:tcW w:type="dxa" w:w="5102"/>
          </w:tcPr>
          <w:p>
            <w:r/>
            <w:r>
              <w:rPr>
                <w:sz w:val="19"/>
              </w:rPr>
              <w:t>64,828</w:t>
            </w:r>
          </w:p>
        </w:tc>
        <w:tc>
          <w:tcPr>
            <w:tcW w:type="dxa" w:w="1928"/>
          </w:tcPr>
          <w:p>
            <w:r/>
            <w:r>
              <w:rPr>
                <w:sz w:val="19"/>
              </w:rPr>
              <w:t>citation_edge</w:t>
            </w:r>
          </w:p>
        </w:tc>
      </w:tr>
      <w:tr>
        <w:tc>
          <w:tcPr>
            <w:tcW w:type="dxa" w:w="2608"/>
          </w:tcPr>
          <w:p>
            <w:r/>
            <w:r>
              <w:rPr>
                <w:sz w:val="19"/>
              </w:rPr>
              <w:t>Paragraphs labelled by rhetorical role</w:t>
            </w:r>
          </w:p>
        </w:tc>
        <w:tc>
          <w:tcPr>
            <w:tcW w:type="dxa" w:w="5102"/>
          </w:tcPr>
          <w:p>
            <w:r/>
            <w:r>
              <w:rPr>
                <w:sz w:val="19"/>
              </w:rPr>
              <w:t>244,673 — ratio 48,493 · lower court 46,950 · argument 38,672 · precedent 25,858 · statute 15,654 · disposition 25,874 · other 33,172</w:t>
            </w:r>
          </w:p>
        </w:tc>
        <w:tc>
          <w:tcPr>
            <w:tcW w:type="dxa" w:w="1928"/>
          </w:tcPr>
          <w:p>
            <w:r/>
            <w:r>
              <w:rPr>
                <w:sz w:val="19"/>
              </w:rPr>
              <w:t>paragraph.role</w:t>
            </w:r>
          </w:p>
        </w:tc>
      </w:tr>
      <w:tr>
        <w:tc>
          <w:tcPr>
            <w:tcW w:type="dxa" w:w="2608"/>
          </w:tcPr>
          <w:p>
            <w:r/>
            <w:r>
              <w:rPr>
                <w:sz w:val="19"/>
              </w:rPr>
              <w:t>Date range</w:t>
            </w:r>
          </w:p>
        </w:tc>
        <w:tc>
          <w:tcPr>
            <w:tcW w:type="dxa" w:w="5102"/>
          </w:tcPr>
          <w:p>
            <w:r/>
            <w:r>
              <w:rPr>
                <w:sz w:val="19"/>
              </w:rPr>
              <w:t>14 March 1950 to 12 December 2025</w:t>
            </w:r>
          </w:p>
        </w:tc>
        <w:tc>
          <w:tcPr>
            <w:tcW w:type="dxa" w:w="1928"/>
          </w:tcPr>
          <w:p>
            <w:r/>
            <w:r>
              <w:rPr>
                <w:sz w:val="19"/>
              </w:rPr>
              <w:t>min / max decided_on</w:t>
            </w:r>
          </w:p>
        </w:tc>
      </w:tr>
      <w:tr>
        <w:tc>
          <w:tcPr>
            <w:tcW w:type="dxa" w:w="2608"/>
          </w:tcPr>
          <w:p>
            <w:r/>
            <w:r>
              <w:rPr>
                <w:sz w:val="19"/>
              </w:rPr>
              <w:t>Database size</w:t>
            </w:r>
          </w:p>
        </w:tc>
        <w:tc>
          <w:tcPr>
            <w:tcW w:type="dxa" w:w="5102"/>
          </w:tcPr>
          <w:p>
            <w:r/>
            <w:r>
              <w:rPr>
                <w:sz w:val="19"/>
              </w:rPr>
              <w:t>3.06 GiB (3.28 GB) in one SQLite file</w:t>
            </w:r>
          </w:p>
        </w:tc>
        <w:tc>
          <w:tcPr>
            <w:tcW w:type="dxa" w:w="1928"/>
          </w:tcPr>
          <w:p>
            <w:r/>
            <w:r>
              <w:rPr>
                <w:sz w:val="19"/>
              </w:rPr>
              <w:t>filesystem</w:t>
            </w:r>
          </w:p>
        </w:tc>
      </w:tr>
    </w:tbl>
    <w:p/>
    <w:p>
      <w:pPr>
        <w:pStyle w:val="Heading2"/>
      </w:pPr>
      <w:r>
        <w:rPr>
          <w:color w:val="1A2199"/>
        </w:rPr>
        <w:t>2.1 What changed since Milestone-1</w:t>
      </w:r>
    </w:p>
    <w:p>
      <w:r>
        <w:t>The Milestone-1 document described a narrower corpus than the one now held. The differences are recorded here rather than silently corrected, because the scope statement in M1 §12 depended on them.</w:t>
      </w:r>
    </w:p>
    <w:tbl>
      <w:tblPr>
        <w:tblStyle w:val="TableGrid"/>
        <w:tblW w:type="auto" w:w="0"/>
        <w:jc w:val="center"/>
        <w:tblLook w:firstColumn="1" w:firstRow="1" w:lastColumn="0" w:lastRow="0" w:noHBand="0" w:noVBand="1" w:val="04A0"/>
      </w:tblPr>
      <w:tblGrid>
        <w:gridCol w:w="3213"/>
        <w:gridCol w:w="3213"/>
        <w:gridCol w:w="3213"/>
      </w:tblGrid>
      <w:tr>
        <w:tc>
          <w:tcPr>
            <w:tcW w:type="dxa" w:w="2948"/>
            <w:shd w:val="clear" w:color="auto" w:fill="1A2199"/>
          </w:tcPr>
          <w:p>
            <w:r/>
            <w:r>
              <w:rPr>
                <w:b/>
                <w:color w:val="FFFFFF"/>
                <w:sz w:val="19"/>
              </w:rPr>
              <w:t>Milestone-1 stated</w:t>
            </w:r>
          </w:p>
        </w:tc>
        <w:tc>
          <w:tcPr>
            <w:tcW w:type="dxa" w:w="2948"/>
            <w:shd w:val="clear" w:color="auto" w:fill="1A2199"/>
          </w:tcPr>
          <w:p>
            <w:r/>
            <w:r>
              <w:rPr>
                <w:b/>
                <w:color w:val="FFFFFF"/>
                <w:sz w:val="19"/>
              </w:rPr>
              <w:t>Measured now</w:t>
            </w:r>
          </w:p>
        </w:tc>
        <w:tc>
          <w:tcPr>
            <w:tcW w:type="dxa" w:w="3742"/>
            <w:shd w:val="clear" w:color="auto" w:fill="1A2199"/>
          </w:tcPr>
          <w:p>
            <w:r/>
            <w:r>
              <w:rPr>
                <w:b/>
                <w:color w:val="FFFFFF"/>
                <w:sz w:val="19"/>
              </w:rPr>
              <w:t>Consequence</w:t>
            </w:r>
          </w:p>
        </w:tc>
      </w:tr>
      <w:tr>
        <w:tc>
          <w:tcPr>
            <w:tcW w:type="dxa" w:w="2948"/>
          </w:tcPr>
          <w:p>
            <w:r/>
            <w:r>
              <w:rPr>
                <w:sz w:val="19"/>
              </w:rPr>
              <w:t>9,429 judgments, 2013–2025</w:t>
            </w:r>
          </w:p>
        </w:tc>
        <w:tc>
          <w:tcPr>
            <w:tcW w:type="dxa" w:w="2948"/>
          </w:tcPr>
          <w:p>
            <w:r/>
            <w:r>
              <w:rPr>
                <w:sz w:val="19"/>
              </w:rPr>
              <w:t>38,032 judgments, 1950–2025</w:t>
            </w:r>
          </w:p>
        </w:tc>
        <w:tc>
          <w:tcPr>
            <w:tcW w:type="dxa" w:w="3742"/>
          </w:tcPr>
          <w:p>
            <w:r/>
            <w:r>
              <w:rPr>
                <w:sz w:val="19"/>
              </w:rPr>
              <w:t>4.0× the corpus; authority decided before 2013 is now verifiable</w:t>
            </w:r>
          </w:p>
        </w:tc>
      </w:tr>
      <w:tr>
        <w:tc>
          <w:tcPr>
            <w:tcW w:type="dxa" w:w="2948"/>
          </w:tcPr>
          <w:p>
            <w:r/>
            <w:r>
              <w:rPr>
                <w:sz w:val="19"/>
              </w:rPr>
              <w:t>409,000 paragraphs</w:t>
            </w:r>
          </w:p>
        </w:tc>
        <w:tc>
          <w:tcPr>
            <w:tcW w:type="dxa" w:w="2948"/>
          </w:tcPr>
          <w:p>
            <w:r/>
            <w:r>
              <w:rPr>
                <w:sz w:val="19"/>
              </w:rPr>
              <w:t>707,647 paragraphs</w:t>
            </w:r>
          </w:p>
        </w:tc>
        <w:tc>
          <w:tcPr>
            <w:tcW w:type="dxa" w:w="3742"/>
          </w:tcPr>
          <w:p>
            <w:r/>
            <w:r>
              <w:rPr>
                <w:sz w:val="19"/>
              </w:rPr>
              <w:t>1.7× the retrieval unit</w:t>
            </w:r>
          </w:p>
        </w:tc>
      </w:tr>
      <w:tr>
        <w:tc>
          <w:tcPr>
            <w:tcW w:type="dxa" w:w="2948"/>
          </w:tcPr>
          <w:p>
            <w:r/>
            <w:r>
              <w:rPr>
                <w:sz w:val="19"/>
              </w:rPr>
              <w:t>Corpus about 1.2 GB</w:t>
            </w:r>
          </w:p>
        </w:tc>
        <w:tc>
          <w:tcPr>
            <w:tcW w:type="dxa" w:w="2948"/>
          </w:tcPr>
          <w:p>
            <w:r/>
            <w:r>
              <w:rPr>
                <w:sz w:val="19"/>
              </w:rPr>
              <w:t>3.28 GB</w:t>
            </w:r>
          </w:p>
        </w:tc>
        <w:tc>
          <w:tcPr>
            <w:tcW w:type="dxa" w:w="3742"/>
          </w:tcPr>
          <w:p>
            <w:r/>
            <w:r>
              <w:rPr>
                <w:sz w:val="19"/>
              </w:rPr>
              <w:t>still a single local file; no server, no subscription</w:t>
            </w:r>
          </w:p>
        </w:tc>
      </w:tr>
      <w:tr>
        <w:tc>
          <w:tcPr>
            <w:tcW w:type="dxa" w:w="2948"/>
          </w:tcPr>
          <w:p>
            <w:r/>
            <w:r>
              <w:rPr>
                <w:sz w:val="19"/>
              </w:rPr>
              <w:t>"Judgments before 2013 are out of scope"</w:t>
            </w:r>
          </w:p>
        </w:tc>
        <w:tc>
          <w:tcPr>
            <w:tcW w:type="dxa" w:w="2948"/>
          </w:tcPr>
          <w:p>
            <w:r/>
            <w:r>
              <w:rPr>
                <w:sz w:val="19"/>
              </w:rPr>
              <w:t>1950 onward is ingested and indexed</w:t>
            </w:r>
          </w:p>
        </w:tc>
        <w:tc>
          <w:tcPr>
            <w:tcW w:type="dxa" w:w="3742"/>
          </w:tcPr>
          <w:p>
            <w:r/>
            <w:r>
              <w:rPr>
                <w:sz w:val="19"/>
              </w:rPr>
              <w:t>that exclusion is withdrawn</w:t>
            </w:r>
          </w:p>
        </w:tc>
      </w:tr>
      <w:tr>
        <w:tc>
          <w:tcPr>
            <w:tcW w:type="dxa" w:w="2948"/>
          </w:tcPr>
          <w:p>
            <w:r/>
            <w:r>
              <w:rPr>
                <w:sz w:val="19"/>
              </w:rPr>
              <w:t>148-query search evaluation</w:t>
            </w:r>
          </w:p>
        </w:tc>
        <w:tc>
          <w:tcPr>
            <w:tcW w:type="dxa" w:w="2948"/>
          </w:tcPr>
          <w:p>
            <w:r/>
            <w:r>
              <w:rPr>
                <w:sz w:val="19"/>
              </w:rPr>
              <w:t>147 queries</w:t>
            </w:r>
          </w:p>
        </w:tc>
        <w:tc>
          <w:tcPr>
            <w:tcW w:type="dxa" w:w="3742"/>
          </w:tcPr>
          <w:p>
            <w:r/>
            <w:r>
              <w:rPr>
                <w:sz w:val="19"/>
              </w:rPr>
              <w:t>the results table in M2 reports 147</w:t>
            </w:r>
          </w:p>
        </w:tc>
      </w:tr>
    </w:tbl>
    <w:p/>
    <w:p>
      <w:r>
        <w:t>The larger corpus strengthens two claims made at M1: that a citation can be checked against the judgment as decided rather than a summary of it, and that later treatment can be traced across seven decades of the same court's reasoning.</w:t>
      </w:r>
    </w:p>
    <w:p>
      <w:r>
        <w:br w:type="page"/>
      </w:r>
    </w:p>
    <w:p>
      <w:pPr>
        <w:pStyle w:val="Heading1"/>
      </w:pPr>
      <w:r>
        <w:rPr>
          <w:color w:val="1A2199"/>
        </w:rPr>
        <w:t>3. Work breakdown structure and ownership</w:t>
      </w:r>
    </w:p>
    <w:p>
      <w:r>
        <w:t>Ownership follows module boundaries in the repository, so that each member can demonstrate the code they are accountable for at the viva. Where a work package spans two members, both are named. Cross-cutting packages remain joint.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val="clear" w:color="auto" w:fill="1A2199"/>
          </w:tcPr>
          <w:p>
            <w:r/>
            <w:r>
              <w:rPr>
                <w:b/>
                <w:color w:val="FFFFFF"/>
                <w:sz w:val="19"/>
              </w:rPr>
              <w:t>ID</w:t>
            </w:r>
          </w:p>
        </w:tc>
        <w:tc>
          <w:tcPr>
            <w:tcW w:type="dxa" w:w="2835"/>
            <w:shd w:val="clear" w:color="auto" w:fill="1A2199"/>
          </w:tcPr>
          <w:p>
            <w:r/>
            <w:r>
              <w:rPr>
                <w:b/>
                <w:color w:val="FFFFFF"/>
                <w:sz w:val="19"/>
              </w:rPr>
              <w:t>Work package</w:t>
            </w:r>
          </w:p>
        </w:tc>
        <w:tc>
          <w:tcPr>
            <w:tcW w:type="dxa" w:w="2835"/>
            <w:shd w:val="clear" w:color="auto" w:fill="1A2199"/>
          </w:tcPr>
          <w:p>
            <w:r/>
            <w:r>
              <w:rPr>
                <w:b/>
                <w:color w:val="FFFFFF"/>
                <w:sz w:val="19"/>
              </w:rPr>
              <w:t>Deliverable</w:t>
            </w:r>
          </w:p>
        </w:tc>
        <w:tc>
          <w:tcPr>
            <w:tcW w:type="dxa" w:w="1701"/>
            <w:shd w:val="clear" w:color="auto" w:fill="1A2199"/>
          </w:tcPr>
          <w:p>
            <w:r/>
            <w:r>
              <w:rPr>
                <w:b/>
                <w:color w:val="FFFFFF"/>
                <w:sz w:val="19"/>
              </w:rPr>
              <w:t>Owner</w:t>
            </w:r>
          </w:p>
        </w:tc>
        <w:tc>
          <w:tcPr>
            <w:tcW w:type="dxa" w:w="1361"/>
            <w:shd w:val="clear" w:color="auto" w:fill="1A2199"/>
          </w:tcPr>
          <w:p>
            <w:r/>
            <w:r>
              <w:rPr>
                <w:b/>
                <w:color w:val="FFFFFF"/>
                <w:sz w:val="19"/>
              </w:rPr>
              <w:t>Status</w:t>
            </w:r>
          </w:p>
        </w:tc>
      </w:tr>
      <w:tr>
        <w:tc>
          <w:tcPr>
            <w:tcW w:type="dxa" w:w="680"/>
          </w:tcPr>
          <w:p>
            <w:r/>
            <w:r>
              <w:rPr>
                <w:sz w:val="19"/>
              </w:rPr>
              <w:t>1.1</w:t>
            </w:r>
          </w:p>
        </w:tc>
        <w:tc>
          <w:tcPr>
            <w:tcW w:type="dxa" w:w="2835"/>
          </w:tcPr>
          <w:p>
            <w:r/>
            <w:r>
              <w:rPr>
                <w:sz w:val="19"/>
              </w:rPr>
              <w:t>Problem identification, group formation</w:t>
            </w:r>
          </w:p>
        </w:tc>
        <w:tc>
          <w:tcPr>
            <w:tcW w:type="dxa" w:w="2835"/>
          </w:tcPr>
          <w:p>
            <w:r/>
            <w:r>
              <w:rPr>
                <w:sz w:val="19"/>
              </w:rPr>
              <w:t>Milestone-0 form</w:t>
            </w:r>
          </w:p>
        </w:tc>
        <w:tc>
          <w:tcPr>
            <w:tcW w:type="dxa" w:w="1701"/>
          </w:tcPr>
          <w:p>
            <w:r/>
            <w:r>
              <w:rPr>
                <w:sz w:val="19"/>
              </w:rPr>
              <w:t>All</w:t>
            </w:r>
          </w:p>
        </w:tc>
        <w:tc>
          <w:tcPr>
            <w:tcW w:type="dxa" w:w="1361"/>
          </w:tcPr>
          <w:p>
            <w:r/>
            <w:r>
              <w:rPr>
                <w:sz w:val="19"/>
              </w:rPr>
              <w:t>Complete</w:t>
            </w:r>
          </w:p>
        </w:tc>
      </w:tr>
      <w:tr>
        <w:tc>
          <w:tcPr>
            <w:tcW w:type="dxa" w:w="680"/>
          </w:tcPr>
          <w:p>
            <w:r/>
            <w:r>
              <w:rPr>
                <w:sz w:val="19"/>
              </w:rPr>
              <w:t>1.2</w:t>
            </w:r>
          </w:p>
        </w:tc>
        <w:tc>
          <w:tcPr>
            <w:tcW w:type="dxa" w:w="2835"/>
          </w:tcPr>
          <w:p>
            <w:r/>
            <w:r>
              <w:rPr>
                <w:sz w:val="19"/>
              </w:rPr>
              <w:t>Proposal, requirements, feasibility</w:t>
            </w:r>
          </w:p>
        </w:tc>
        <w:tc>
          <w:tcPr>
            <w:tcW w:type="dxa" w:w="2835"/>
          </w:tcPr>
          <w:p>
            <w:r/>
            <w:r>
              <w:rPr>
                <w:sz w:val="19"/>
              </w:rPr>
              <w:t>Milestone-1 document</w:t>
            </w:r>
          </w:p>
        </w:tc>
        <w:tc>
          <w:tcPr>
            <w:tcW w:type="dxa" w:w="1701"/>
          </w:tcPr>
          <w:p>
            <w:r/>
            <w:r>
              <w:rPr>
                <w:sz w:val="19"/>
              </w:rPr>
              <w:t>All</w:t>
            </w:r>
          </w:p>
        </w:tc>
        <w:tc>
          <w:tcPr>
            <w:tcW w:type="dxa" w:w="1361"/>
          </w:tcPr>
          <w:p>
            <w:r/>
            <w:r>
              <w:rPr>
                <w:sz w:val="19"/>
              </w:rPr>
              <w:t>Complete</w:t>
            </w:r>
          </w:p>
        </w:tc>
      </w:tr>
      <w:tr>
        <w:tc>
          <w:tcPr>
            <w:tcW w:type="dxa" w:w="680"/>
          </w:tcPr>
          <w:p>
            <w:r/>
            <w:r>
              <w:rPr>
                <w:sz w:val="19"/>
              </w:rPr>
              <w:t>2.1</w:t>
            </w:r>
          </w:p>
        </w:tc>
        <w:tc>
          <w:tcPr>
            <w:tcW w:type="dxa" w:w="2835"/>
          </w:tcPr>
          <w:p>
            <w:r/>
            <w:r>
              <w:rPr>
                <w:sz w:val="19"/>
              </w:rPr>
              <w:t>Source investigation and licence verification</w:t>
            </w:r>
          </w:p>
        </w:tc>
        <w:tc>
          <w:tcPr>
            <w:tcW w:type="dxa" w:w="2835"/>
          </w:tcPr>
          <w:p>
            <w:r/>
            <w:r>
              <w:rPr>
                <w:sz w:val="19"/>
              </w:rPr>
              <w:t>Source list with licences</w:t>
            </w:r>
          </w:p>
        </w:tc>
        <w:tc>
          <w:tcPr>
            <w:tcW w:type="dxa" w:w="1701"/>
          </w:tcPr>
          <w:p>
            <w:r/>
            <w:r>
              <w:rPr>
                <w:sz w:val="19"/>
              </w:rPr>
              <w:t>Arush</w:t>
            </w:r>
          </w:p>
        </w:tc>
        <w:tc>
          <w:tcPr>
            <w:tcW w:type="dxa" w:w="1361"/>
          </w:tcPr>
          <w:p>
            <w:r/>
            <w:r>
              <w:rPr>
                <w:sz w:val="19"/>
              </w:rPr>
              <w:t>Complete</w:t>
            </w:r>
          </w:p>
        </w:tc>
      </w:tr>
      <w:tr>
        <w:tc>
          <w:tcPr>
            <w:tcW w:type="dxa" w:w="680"/>
          </w:tcPr>
          <w:p>
            <w:r/>
            <w:r>
              <w:rPr>
                <w:sz w:val="19"/>
              </w:rPr>
              <w:t>2.2</w:t>
            </w:r>
          </w:p>
        </w:tc>
        <w:tc>
          <w:tcPr>
            <w:tcW w:type="dxa" w:w="2835"/>
          </w:tcPr>
          <w:p>
            <w:r/>
            <w:r>
              <w:rPr>
                <w:sz w:val="19"/>
              </w:rPr>
              <w:t>Metadata import and citation aliases</w:t>
            </w:r>
          </w:p>
        </w:tc>
        <w:tc>
          <w:tcPr>
            <w:tcW w:type="dxa" w:w="2835"/>
          </w:tcPr>
          <w:p>
            <w:r/>
            <w:r>
              <w:rPr>
                <w:sz w:val="19"/>
              </w:rPr>
              <w:t>Judgment and alias tables</w:t>
            </w:r>
          </w:p>
        </w:tc>
        <w:tc>
          <w:tcPr>
            <w:tcW w:type="dxa" w:w="1701"/>
          </w:tcPr>
          <w:p>
            <w:r/>
            <w:r>
              <w:rPr>
                <w:sz w:val="19"/>
              </w:rPr>
              <w:t>Arush</w:t>
            </w:r>
          </w:p>
        </w:tc>
        <w:tc>
          <w:tcPr>
            <w:tcW w:type="dxa" w:w="1361"/>
          </w:tcPr>
          <w:p>
            <w:r/>
            <w:r>
              <w:rPr>
                <w:sz w:val="19"/>
              </w:rPr>
              <w:t>Complete</w:t>
            </w:r>
          </w:p>
        </w:tc>
      </w:tr>
      <w:tr>
        <w:tc>
          <w:tcPr>
            <w:tcW w:type="dxa" w:w="680"/>
          </w:tcPr>
          <w:p>
            <w:r/>
            <w:r>
              <w:rPr>
                <w:sz w:val="19"/>
              </w:rPr>
              <w:t>2.3</w:t>
            </w:r>
          </w:p>
        </w:tc>
        <w:tc>
          <w:tcPr>
            <w:tcW w:type="dxa" w:w="2835"/>
          </w:tcPr>
          <w:p>
            <w:r/>
            <w:r>
              <w:rPr>
                <w:sz w:val="19"/>
              </w:rPr>
              <w:t>Full-text ingestion, PDF cleaning, segmentation</w:t>
            </w:r>
          </w:p>
        </w:tc>
        <w:tc>
          <w:tcPr>
            <w:tcW w:type="dxa" w:w="2835"/>
          </w:tcPr>
          <w:p>
            <w:r/>
            <w:r>
              <w:rPr>
                <w:sz w:val="19"/>
              </w:rPr>
              <w:t>Paragraph table, full-text index</w:t>
            </w:r>
          </w:p>
        </w:tc>
        <w:tc>
          <w:tcPr>
            <w:tcW w:type="dxa" w:w="1701"/>
          </w:tcPr>
          <w:p>
            <w:r/>
            <w:r>
              <w:rPr>
                <w:sz w:val="19"/>
              </w:rPr>
              <w:t>Arush</w:t>
            </w:r>
          </w:p>
        </w:tc>
        <w:tc>
          <w:tcPr>
            <w:tcW w:type="dxa" w:w="1361"/>
          </w:tcPr>
          <w:p>
            <w:r/>
            <w:r>
              <w:rPr>
                <w:sz w:val="19"/>
              </w:rPr>
              <w:t>Complete</w:t>
            </w:r>
          </w:p>
        </w:tc>
      </w:tr>
      <w:tr>
        <w:tc>
          <w:tcPr>
            <w:tcW w:type="dxa" w:w="680"/>
          </w:tcPr>
          <w:p>
            <w:r/>
            <w:r>
              <w:rPr>
                <w:sz w:val="19"/>
              </w:rPr>
              <w:t>3.1</w:t>
            </w:r>
          </w:p>
        </w:tc>
        <w:tc>
          <w:tcPr>
            <w:tcW w:type="dxa" w:w="2835"/>
          </w:tcPr>
          <w:p>
            <w:r/>
            <w:r>
              <w:rPr>
                <w:sz w:val="19"/>
              </w:rPr>
              <w:t>Citation grammar and resolver</w:t>
            </w:r>
          </w:p>
        </w:tc>
        <w:tc>
          <w:tcPr>
            <w:tcW w:type="dxa" w:w="2835"/>
          </w:tcPr>
          <w:p>
            <w:r/>
            <w:r>
              <w:rPr>
                <w:sz w:val="19"/>
              </w:rPr>
              <w:t>Parser and resolver with tests</w:t>
            </w:r>
          </w:p>
        </w:tc>
        <w:tc>
          <w:tcPr>
            <w:tcW w:type="dxa" w:w="1701"/>
          </w:tcPr>
          <w:p>
            <w:r/>
            <w:r>
              <w:rPr>
                <w:sz w:val="19"/>
              </w:rPr>
              <w:t>Afjal</w:t>
            </w:r>
          </w:p>
        </w:tc>
        <w:tc>
          <w:tcPr>
            <w:tcW w:type="dxa" w:w="1361"/>
          </w:tcPr>
          <w:p>
            <w:r/>
            <w:r>
              <w:rPr>
                <w:sz w:val="19"/>
              </w:rPr>
              <w:t>Complete</w:t>
            </w:r>
          </w:p>
        </w:tc>
      </w:tr>
      <w:tr>
        <w:tc>
          <w:tcPr>
            <w:tcW w:type="dxa" w:w="680"/>
          </w:tcPr>
          <w:p>
            <w:r/>
            <w:r>
              <w:rPr>
                <w:sz w:val="19"/>
              </w:rPr>
              <w:t>4.1</w:t>
            </w:r>
          </w:p>
        </w:tc>
        <w:tc>
          <w:tcPr>
            <w:tcW w:type="dxa" w:w="2835"/>
          </w:tcPr>
          <w:p>
            <w:r/>
            <w:r>
              <w:rPr>
                <w:sz w:val="19"/>
              </w:rPr>
              <w:t>Locator, pinpoint and quote verifier</w:t>
            </w:r>
          </w:p>
        </w:tc>
        <w:tc>
          <w:tcPr>
            <w:tcW w:type="dxa" w:w="2835"/>
          </w:tcPr>
          <w:p>
            <w:r/>
            <w:r>
              <w:rPr>
                <w:sz w:val="19"/>
              </w:rPr>
              <w:t>Verified-quote module</w:t>
            </w:r>
          </w:p>
        </w:tc>
        <w:tc>
          <w:tcPr>
            <w:tcW w:type="dxa" w:w="1701"/>
          </w:tcPr>
          <w:p>
            <w:r/>
            <w:r>
              <w:rPr>
                <w:sz w:val="19"/>
              </w:rPr>
              <w:t>Afjal</w:t>
            </w:r>
          </w:p>
        </w:tc>
        <w:tc>
          <w:tcPr>
            <w:tcW w:type="dxa" w:w="1361"/>
          </w:tcPr>
          <w:p>
            <w:r/>
            <w:r>
              <w:rPr>
                <w:sz w:val="19"/>
              </w:rPr>
              <w:t>Complete</w:t>
            </w:r>
          </w:p>
        </w:tc>
      </w:tr>
      <w:tr>
        <w:tc>
          <w:tcPr>
            <w:tcW w:type="dxa" w:w="680"/>
          </w:tcPr>
          <w:p>
            <w:r/>
            <w:r>
              <w:rPr>
                <w:sz w:val="19"/>
              </w:rPr>
              <w:t>4.2</w:t>
            </w:r>
          </w:p>
        </w:tc>
        <w:tc>
          <w:tcPr>
            <w:tcW w:type="dxa" w:w="2835"/>
          </w:tcPr>
          <w:p>
            <w:r/>
            <w:r>
              <w:rPr>
                <w:sz w:val="19"/>
              </w:rPr>
              <w:t>Voice, weight, scope, hierarchy</w:t>
            </w:r>
          </w:p>
        </w:tc>
        <w:tc>
          <w:tcPr>
            <w:tcW w:type="dxa" w:w="2835"/>
          </w:tcPr>
          <w:p>
            <w:r/>
            <w:r>
              <w:rPr>
                <w:sz w:val="19"/>
              </w:rPr>
              <w:t>Attribution and grading modules</w:t>
            </w:r>
          </w:p>
        </w:tc>
        <w:tc>
          <w:tcPr>
            <w:tcW w:type="dxa" w:w="1701"/>
          </w:tcPr>
          <w:p>
            <w:r/>
            <w:r>
              <w:rPr>
                <w:sz w:val="19"/>
              </w:rPr>
              <w:t>Afjal</w:t>
            </w:r>
          </w:p>
        </w:tc>
        <w:tc>
          <w:tcPr>
            <w:tcW w:type="dxa" w:w="1361"/>
          </w:tcPr>
          <w:p>
            <w:r/>
            <w:r>
              <w:rPr>
                <w:sz w:val="19"/>
              </w:rPr>
              <w:t>Complete</w:t>
            </w:r>
          </w:p>
        </w:tc>
      </w:tr>
      <w:tr>
        <w:tc>
          <w:tcPr>
            <w:tcW w:type="dxa" w:w="680"/>
          </w:tcPr>
          <w:p>
            <w:r/>
            <w:r>
              <w:rPr>
                <w:sz w:val="19"/>
              </w:rPr>
              <w:t>4.3</w:t>
            </w:r>
          </w:p>
        </w:tc>
        <w:tc>
          <w:tcPr>
            <w:tcW w:type="dxa" w:w="2835"/>
          </w:tcPr>
          <w:p>
            <w:r/>
            <w:r>
              <w:rPr>
                <w:sz w:val="19"/>
              </w:rPr>
              <w:t>Citator and bench-strength rule</w:t>
            </w:r>
          </w:p>
        </w:tc>
        <w:tc>
          <w:tcPr>
            <w:tcW w:type="dxa" w:w="2835"/>
          </w:tcPr>
          <w:p>
            <w:r/>
            <w:r>
              <w:rPr>
                <w:sz w:val="19"/>
              </w:rPr>
              <w:t>Treatment report</w:t>
            </w:r>
          </w:p>
        </w:tc>
        <w:tc>
          <w:tcPr>
            <w:tcW w:type="dxa" w:w="1701"/>
          </w:tcPr>
          <w:p>
            <w:r/>
            <w:r>
              <w:rPr>
                <w:sz w:val="19"/>
              </w:rPr>
              <w:t>Afjal</w:t>
            </w:r>
          </w:p>
        </w:tc>
        <w:tc>
          <w:tcPr>
            <w:tcW w:type="dxa" w:w="1361"/>
          </w:tcPr>
          <w:p>
            <w:r/>
            <w:r>
              <w:rPr>
                <w:sz w:val="19"/>
              </w:rPr>
              <w:t>Complete</w:t>
            </w:r>
          </w:p>
        </w:tc>
      </w:tr>
      <w:tr>
        <w:tc>
          <w:tcPr>
            <w:tcW w:type="dxa" w:w="680"/>
          </w:tcPr>
          <w:p>
            <w:r/>
            <w:r>
              <w:rPr>
                <w:sz w:val="19"/>
              </w:rPr>
              <w:t>4.4</w:t>
            </w:r>
          </w:p>
        </w:tc>
        <w:tc>
          <w:tcPr>
            <w:tcW w:type="dxa" w:w="2835"/>
          </w:tcPr>
          <w:p>
            <w:r/>
            <w:r>
              <w:rPr>
                <w:sz w:val="19"/>
              </w:rPr>
              <w:t>Agent layer (Strands, eight tools)</w:t>
            </w:r>
          </w:p>
        </w:tc>
        <w:tc>
          <w:tcPr>
            <w:tcW w:type="dxa" w:w="2835"/>
          </w:tcPr>
          <w:p>
            <w:r/>
            <w:r>
              <w:rPr>
                <w:sz w:val="19"/>
              </w:rPr>
              <w:t>`orderorder agent`, /api/agent</w:t>
            </w:r>
          </w:p>
        </w:tc>
        <w:tc>
          <w:tcPr>
            <w:tcW w:type="dxa" w:w="1701"/>
          </w:tcPr>
          <w:p>
            <w:r/>
            <w:r>
              <w:rPr>
                <w:sz w:val="19"/>
              </w:rPr>
              <w:t>Afjal</w:t>
            </w:r>
          </w:p>
        </w:tc>
        <w:tc>
          <w:tcPr>
            <w:tcW w:type="dxa" w:w="1361"/>
          </w:tcPr>
          <w:p>
            <w:r/>
            <w:r>
              <w:rPr>
                <w:sz w:val="19"/>
              </w:rPr>
              <w:t>Complete</w:t>
            </w:r>
          </w:p>
        </w:tc>
      </w:tr>
      <w:tr>
        <w:tc>
          <w:tcPr>
            <w:tcW w:type="dxa" w:w="680"/>
          </w:tcPr>
          <w:p>
            <w:r/>
            <w:r>
              <w:rPr>
                <w:sz w:val="19"/>
              </w:rPr>
              <w:t>5.1</w:t>
            </w:r>
          </w:p>
        </w:tc>
        <w:tc>
          <w:tcPr>
            <w:tcW w:type="dxa" w:w="2835"/>
          </w:tcPr>
          <w:p>
            <w:r/>
            <w:r>
              <w:rPr>
                <w:sz w:val="19"/>
              </w:rPr>
              <w:t>Authority search and contrary search</w:t>
            </w:r>
          </w:p>
        </w:tc>
        <w:tc>
          <w:tcPr>
            <w:tcW w:type="dxa" w:w="2835"/>
          </w:tcPr>
          <w:p>
            <w:r/>
            <w:r>
              <w:rPr>
                <w:sz w:val="19"/>
              </w:rPr>
              <w:t>find and contrary commands</w:t>
            </w:r>
          </w:p>
        </w:tc>
        <w:tc>
          <w:tcPr>
            <w:tcW w:type="dxa" w:w="1701"/>
          </w:tcPr>
          <w:p>
            <w:r/>
            <w:r>
              <w:rPr>
                <w:sz w:val="19"/>
              </w:rPr>
              <w:t>Ayush</w:t>
            </w:r>
          </w:p>
        </w:tc>
        <w:tc>
          <w:tcPr>
            <w:tcW w:type="dxa" w:w="1361"/>
          </w:tcPr>
          <w:p>
            <w:r/>
            <w:r>
              <w:rPr>
                <w:sz w:val="19"/>
              </w:rPr>
              <w:t>Complete</w:t>
            </w:r>
          </w:p>
        </w:tc>
      </w:tr>
      <w:tr>
        <w:tc>
          <w:tcPr>
            <w:tcW w:type="dxa" w:w="680"/>
          </w:tcPr>
          <w:p>
            <w:r/>
            <w:r>
              <w:rPr>
                <w:sz w:val="19"/>
              </w:rPr>
              <w:t>5.2</w:t>
            </w:r>
          </w:p>
        </w:tc>
        <w:tc>
          <w:tcPr>
            <w:tcW w:type="dxa" w:w="2835"/>
          </w:tcPr>
          <w:p>
            <w:r/>
            <w:r>
              <w:rPr>
                <w:sz w:val="19"/>
              </w:rPr>
              <w:t>Drafting gate, draft assembly, self-attack</w:t>
            </w:r>
          </w:p>
        </w:tc>
        <w:tc>
          <w:tcPr>
            <w:tcW w:type="dxa" w:w="2835"/>
          </w:tcPr>
          <w:p>
            <w:r/>
            <w:r>
              <w:rPr>
                <w:sz w:val="19"/>
              </w:rPr>
              <w:t>Draft .docx with appendix</w:t>
            </w:r>
          </w:p>
        </w:tc>
        <w:tc>
          <w:tcPr>
            <w:tcW w:type="dxa" w:w="1701"/>
          </w:tcPr>
          <w:p>
            <w:r/>
            <w:r>
              <w:rPr>
                <w:sz w:val="19"/>
              </w:rPr>
              <w:t>Ayush</w:t>
            </w:r>
          </w:p>
        </w:tc>
        <w:tc>
          <w:tcPr>
            <w:tcW w:type="dxa" w:w="1361"/>
          </w:tcPr>
          <w:p>
            <w:r/>
            <w:r>
              <w:rPr>
                <w:sz w:val="19"/>
              </w:rPr>
              <w:t>Complete</w:t>
            </w:r>
          </w:p>
        </w:tc>
      </w:tr>
      <w:tr>
        <w:tc>
          <w:tcPr>
            <w:tcW w:type="dxa" w:w="680"/>
          </w:tcPr>
          <w:p>
            <w:r/>
            <w:r>
              <w:rPr>
                <w:sz w:val="19"/>
              </w:rPr>
              <w:t>6.1</w:t>
            </w:r>
          </w:p>
        </w:tc>
        <w:tc>
          <w:tcPr>
            <w:tcW w:type="dxa" w:w="2835"/>
          </w:tcPr>
          <w:p>
            <w:r/>
            <w:r>
              <w:rPr>
                <w:sz w:val="19"/>
              </w:rPr>
              <w:t>Interface and reporting</w:t>
            </w:r>
          </w:p>
        </w:tc>
        <w:tc>
          <w:tcPr>
            <w:tcW w:type="dxa" w:w="2835"/>
          </w:tcPr>
          <w:p>
            <w:r/>
            <w:r>
              <w:rPr>
                <w:sz w:val="19"/>
              </w:rPr>
              <w:t>CLI (Afjal); web page and annotated brief (Ayush)</w:t>
            </w:r>
          </w:p>
        </w:tc>
        <w:tc>
          <w:tcPr>
            <w:tcW w:type="dxa" w:w="1701"/>
          </w:tcPr>
          <w:p>
            <w:r/>
            <w:r>
              <w:rPr>
                <w:sz w:val="19"/>
              </w:rPr>
              <w:t>Afjal / Ayush</w:t>
            </w:r>
          </w:p>
        </w:tc>
        <w:tc>
          <w:tcPr>
            <w:tcW w:type="dxa" w:w="1361"/>
          </w:tcPr>
          <w:p>
            <w:r/>
            <w:r>
              <w:rPr>
                <w:sz w:val="19"/>
              </w:rPr>
              <w:t>Complete</w:t>
            </w:r>
          </w:p>
        </w:tc>
      </w:tr>
      <w:tr>
        <w:tc>
          <w:tcPr>
            <w:tcW w:type="dxa" w:w="680"/>
          </w:tcPr>
          <w:p>
            <w:r/>
            <w:r>
              <w:rPr>
                <w:sz w:val="19"/>
              </w:rPr>
              <w:t>7.1</w:t>
            </w:r>
          </w:p>
        </w:tc>
        <w:tc>
          <w:tcPr>
            <w:tcW w:type="dxa" w:w="2835"/>
          </w:tcPr>
          <w:p>
            <w:r/>
            <w:r>
              <w:rPr>
                <w:sz w:val="19"/>
              </w:rPr>
              <w:t>Evaluation harness and held-out runs</w:t>
            </w:r>
          </w:p>
        </w:tc>
        <w:tc>
          <w:tcPr>
            <w:tcW w:type="dxa" w:w="2835"/>
          </w:tcPr>
          <w:p>
            <w:r/>
            <w:r>
              <w:rPr>
                <w:sz w:val="19"/>
              </w:rPr>
              <w:t>Reports in evals/</w:t>
            </w:r>
          </w:p>
        </w:tc>
        <w:tc>
          <w:tcPr>
            <w:tcW w:type="dxa" w:w="1701"/>
          </w:tcPr>
          <w:p>
            <w:r/>
            <w:r>
              <w:rPr>
                <w:sz w:val="19"/>
              </w:rPr>
              <w:t>Ayush</w:t>
            </w:r>
          </w:p>
        </w:tc>
        <w:tc>
          <w:tcPr>
            <w:tcW w:type="dxa" w:w="1361"/>
          </w:tcPr>
          <w:p>
            <w:r/>
            <w:r>
              <w:rPr>
                <w:sz w:val="19"/>
              </w:rPr>
              <w:t>Complete</w:t>
            </w:r>
          </w:p>
        </w:tc>
      </w:tr>
      <w:tr>
        <w:tc>
          <w:tcPr>
            <w:tcW w:type="dxa" w:w="680"/>
          </w:tcPr>
          <w:p>
            <w:r/>
            <w:r>
              <w:rPr>
                <w:sz w:val="19"/>
              </w:rPr>
              <w:t>7.2</w:t>
            </w:r>
          </w:p>
        </w:tc>
        <w:tc>
          <w:tcPr>
            <w:tcW w:type="dxa" w:w="2835"/>
          </w:tcPr>
          <w:p>
            <w:r/>
            <w:r>
              <w:rPr>
                <w:sz w:val="19"/>
              </w:rPr>
              <w:t>Real briefs and stakeholder feedback</w:t>
            </w:r>
          </w:p>
        </w:tc>
        <w:tc>
          <w:tcPr>
            <w:tcW w:type="dxa" w:w="2835"/>
          </w:tcPr>
          <w:p>
            <w:r/>
            <w:r>
              <w:rPr>
                <w:sz w:val="19"/>
              </w:rPr>
              <w:t>Feedback log, hand-checked set</w:t>
            </w:r>
          </w:p>
        </w:tc>
        <w:tc>
          <w:tcPr>
            <w:tcW w:type="dxa" w:w="1701"/>
          </w:tcPr>
          <w:p>
            <w:r/>
            <w:r>
              <w:rPr>
                <w:sz w:val="19"/>
              </w:rPr>
              <w:t>All</w:t>
            </w:r>
          </w:p>
        </w:tc>
        <w:tc>
          <w:tcPr>
            <w:tcW w:type="dxa" w:w="1361"/>
          </w:tcPr>
          <w:p>
            <w:r/>
            <w:r>
              <w:rPr>
                <w:sz w:val="19"/>
              </w:rPr>
              <w:t>In progress</w:t>
            </w:r>
          </w:p>
        </w:tc>
      </w:tr>
      <w:tr>
        <w:tc>
          <w:tcPr>
            <w:tcW w:type="dxa" w:w="680"/>
          </w:tcPr>
          <w:p>
            <w:r/>
            <w:r>
              <w:rPr>
                <w:sz w:val="19"/>
              </w:rPr>
              <w:t>8.1</w:t>
            </w:r>
          </w:p>
        </w:tc>
        <w:tc>
          <w:tcPr>
            <w:tcW w:type="dxa" w:w="2835"/>
          </w:tcPr>
          <w:p>
            <w:r/>
            <w:r>
              <w:rPr>
                <w:sz w:val="19"/>
              </w:rPr>
              <w:t>Milestone-2 document and demo evidence</w:t>
            </w:r>
          </w:p>
        </w:tc>
        <w:tc>
          <w:tcPr>
            <w:tcW w:type="dxa" w:w="2835"/>
          </w:tcPr>
          <w:p>
            <w:r/>
            <w:r>
              <w:rPr>
                <w:sz w:val="19"/>
              </w:rPr>
              <w:t>Milestone-2 document</w:t>
            </w:r>
          </w:p>
        </w:tc>
        <w:tc>
          <w:tcPr>
            <w:tcW w:type="dxa" w:w="1701"/>
          </w:tcPr>
          <w:p>
            <w:r/>
            <w:r>
              <w:rPr>
                <w:sz w:val="19"/>
              </w:rPr>
              <w:t>All</w:t>
            </w:r>
          </w:p>
        </w:tc>
        <w:tc>
          <w:tcPr>
            <w:tcW w:type="dxa" w:w="1361"/>
          </w:tcPr>
          <w:p>
            <w:r/>
            <w:r>
              <w:rPr>
                <w:sz w:val="19"/>
              </w:rPr>
              <w:t>In progress</w:t>
            </w:r>
          </w:p>
        </w:tc>
      </w:tr>
      <w:tr>
        <w:tc>
          <w:tcPr>
            <w:tcW w:type="dxa" w:w="680"/>
          </w:tcPr>
          <w:p>
            <w:r/>
            <w:r>
              <w:rPr>
                <w:sz w:val="19"/>
              </w:rPr>
              <w:t>8.2</w:t>
            </w:r>
          </w:p>
        </w:tc>
        <w:tc>
          <w:tcPr>
            <w:tcW w:type="dxa" w:w="2835"/>
          </w:tcPr>
          <w:p>
            <w:r/>
            <w:r>
              <w:rPr>
                <w:sz w:val="19"/>
              </w:rPr>
              <w:t>Final report, slides, rehearsed demo</w:t>
            </w:r>
          </w:p>
        </w:tc>
        <w:tc>
          <w:tcPr>
            <w:tcW w:type="dxa" w:w="2835"/>
          </w:tcPr>
          <w:p>
            <w:r/>
            <w:r>
              <w:rPr>
                <w:sz w:val="19"/>
              </w:rPr>
              <w:t>Report, deck, live demo</w:t>
            </w:r>
          </w:p>
        </w:tc>
        <w:tc>
          <w:tcPr>
            <w:tcW w:type="dxa" w:w="1701"/>
          </w:tcPr>
          <w:p>
            <w:r/>
            <w:r>
              <w:rPr>
                <w:sz w:val="19"/>
              </w:rPr>
              <w:t>All</w:t>
            </w:r>
          </w:p>
        </w:tc>
        <w:tc>
          <w:tcPr>
            <w:tcW w:type="dxa" w:w="1361"/>
          </w:tcPr>
          <w:p>
            <w:r/>
            <w:r>
              <w:rPr>
                <w:sz w:val="19"/>
              </w:rPr>
              <w:t>Planned</w:t>
            </w:r>
          </w:p>
        </w:tc>
      </w:tr>
    </w:tbl>
    <w:p/>
    <w:p>
      <w:r>
        <w:t>Two work packages carry the remaining risk. 7.2 is the only Milestone-1 success criterion not yet met, because it depends on people outside the group; three users and one faculty member remain to be interviewed. 8.1 and 8.2 are document work that cannot start until the evidence in 7.2 exists.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