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BB6A" w14:textId="77777777" w:rsidR="00AA0113" w:rsidRDefault="00AA0113" w:rsidP="00AA0113">
      <w:pPr>
        <w:spacing w:after="0"/>
        <w:jc w:val="center"/>
        <w:rPr>
          <w:sz w:val="24"/>
          <w:szCs w:val="24"/>
        </w:rPr>
      </w:pPr>
      <w:r w:rsidRPr="00E013D7">
        <w:rPr>
          <w:rFonts w:cstheme="minorHAnsi"/>
          <w:i/>
          <w:i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A979438" wp14:editId="141E040F">
            <wp:extent cx="2934036" cy="985076"/>
            <wp:effectExtent l="0" t="0" r="0" b="5715"/>
            <wp:docPr id="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77" cy="99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BADB" w14:textId="77777777" w:rsidR="00AA0113" w:rsidRPr="00E013D7" w:rsidRDefault="00AA0113" w:rsidP="00AA0113">
      <w:pPr>
        <w:spacing w:after="0"/>
        <w:jc w:val="center"/>
        <w:rPr>
          <w:sz w:val="24"/>
          <w:szCs w:val="24"/>
        </w:rPr>
      </w:pPr>
    </w:p>
    <w:p w14:paraId="10714C3D" w14:textId="77777777" w:rsidR="00AA0113" w:rsidRPr="00E013D7" w:rsidRDefault="00AA0113" w:rsidP="00AA0113">
      <w:pPr>
        <w:spacing w:after="0"/>
        <w:jc w:val="center"/>
        <w:rPr>
          <w:b/>
          <w:bCs/>
          <w:sz w:val="24"/>
          <w:szCs w:val="24"/>
        </w:rPr>
      </w:pPr>
      <w:r w:rsidRPr="00E013D7">
        <w:rPr>
          <w:b/>
          <w:bCs/>
          <w:sz w:val="24"/>
          <w:szCs w:val="24"/>
        </w:rPr>
        <w:t>CONCORDIA INSTITUTE FOR INFORMATION SYSTEM ENGINEERING (CIISE)</w:t>
      </w:r>
    </w:p>
    <w:p w14:paraId="65866A1E" w14:textId="77777777" w:rsidR="00AA0113" w:rsidRPr="00E013D7" w:rsidRDefault="00AA0113" w:rsidP="00AA0113">
      <w:pPr>
        <w:spacing w:after="0"/>
        <w:jc w:val="center"/>
        <w:rPr>
          <w:b/>
          <w:bCs/>
          <w:sz w:val="24"/>
          <w:szCs w:val="24"/>
        </w:rPr>
      </w:pPr>
      <w:r w:rsidRPr="00E013D7">
        <w:rPr>
          <w:b/>
          <w:bCs/>
          <w:sz w:val="24"/>
          <w:szCs w:val="24"/>
        </w:rPr>
        <w:t>CONCORDIA UNIVERSITY</w:t>
      </w:r>
    </w:p>
    <w:p w14:paraId="70A1F64F" w14:textId="68EF2E31" w:rsidR="00AA0113" w:rsidRPr="00AA0113" w:rsidRDefault="00AA0113" w:rsidP="00AA0113">
      <w:pPr>
        <w:spacing w:after="0"/>
        <w:jc w:val="center"/>
        <w:rPr>
          <w:b/>
          <w:bCs/>
          <w:sz w:val="24"/>
          <w:szCs w:val="24"/>
        </w:rPr>
      </w:pPr>
      <w:r w:rsidRPr="00E013D7">
        <w:rPr>
          <w:sz w:val="24"/>
          <w:szCs w:val="24"/>
        </w:rPr>
        <w:br/>
      </w:r>
      <w:r w:rsidRPr="00AA0113">
        <w:rPr>
          <w:b/>
          <w:bCs/>
          <w:sz w:val="24"/>
          <w:szCs w:val="24"/>
        </w:rPr>
        <w:t>INSE 61</w:t>
      </w:r>
      <w:r w:rsidRPr="00AA0113">
        <w:rPr>
          <w:b/>
          <w:bCs/>
          <w:sz w:val="24"/>
          <w:szCs w:val="24"/>
        </w:rPr>
        <w:t>2</w:t>
      </w:r>
      <w:r w:rsidRPr="00AA0113">
        <w:rPr>
          <w:b/>
          <w:bCs/>
          <w:sz w:val="24"/>
          <w:szCs w:val="24"/>
        </w:rPr>
        <w:t>0</w:t>
      </w:r>
    </w:p>
    <w:p w14:paraId="2CA20C2F" w14:textId="512C8F42" w:rsidR="00AA0113" w:rsidRPr="00AA0113" w:rsidRDefault="00AA0113" w:rsidP="00AA0113">
      <w:pPr>
        <w:spacing w:after="0"/>
        <w:jc w:val="center"/>
        <w:rPr>
          <w:b/>
          <w:bCs/>
          <w:sz w:val="24"/>
          <w:szCs w:val="24"/>
        </w:rPr>
      </w:pPr>
      <w:r w:rsidRPr="00AA0113">
        <w:rPr>
          <w:b/>
          <w:bCs/>
          <w:sz w:val="24"/>
          <w:szCs w:val="24"/>
        </w:rPr>
        <w:t>CRYPTOGRAPHIC PROTOCOLS AND NETWORK SECURITY</w:t>
      </w:r>
    </w:p>
    <w:p w14:paraId="284DAE18" w14:textId="77777777" w:rsidR="00AA0113" w:rsidRPr="00AA0113" w:rsidRDefault="00AA0113" w:rsidP="00AA0113">
      <w:pPr>
        <w:spacing w:after="0"/>
        <w:jc w:val="center"/>
        <w:rPr>
          <w:b/>
          <w:bCs/>
          <w:sz w:val="24"/>
          <w:szCs w:val="24"/>
        </w:rPr>
      </w:pPr>
    </w:p>
    <w:p w14:paraId="5FBA33A6" w14:textId="77777777" w:rsidR="00AA0113" w:rsidRPr="00AA0113" w:rsidRDefault="00AA0113" w:rsidP="00AA0113">
      <w:pPr>
        <w:jc w:val="center"/>
        <w:rPr>
          <w:b/>
          <w:bCs/>
          <w:sz w:val="24"/>
          <w:szCs w:val="24"/>
        </w:rPr>
      </w:pPr>
      <w:r w:rsidRPr="00AA0113">
        <w:rPr>
          <w:b/>
          <w:bCs/>
          <w:sz w:val="24"/>
          <w:szCs w:val="24"/>
        </w:rPr>
        <w:t>WINTER 2024</w:t>
      </w:r>
    </w:p>
    <w:p w14:paraId="2A3EED5D" w14:textId="31FD7B33" w:rsidR="00AA0113" w:rsidRPr="00AA0113" w:rsidRDefault="00AA0113" w:rsidP="00AA0113">
      <w:pPr>
        <w:jc w:val="center"/>
        <w:rPr>
          <w:b/>
          <w:bCs/>
          <w:sz w:val="24"/>
          <w:szCs w:val="24"/>
        </w:rPr>
      </w:pPr>
      <w:r w:rsidRPr="00AA0113">
        <w:rPr>
          <w:b/>
          <w:bCs/>
          <w:sz w:val="24"/>
          <w:szCs w:val="24"/>
        </w:rPr>
        <w:t>SECURITY ASSESSMENT OF THE TETRA PROTOCOL</w:t>
      </w:r>
    </w:p>
    <w:p w14:paraId="42E50FF4" w14:textId="77777777" w:rsidR="00AA0113" w:rsidRPr="00E013D7" w:rsidRDefault="00AA0113" w:rsidP="00AA0113">
      <w:pPr>
        <w:jc w:val="center"/>
        <w:rPr>
          <w:sz w:val="24"/>
          <w:szCs w:val="24"/>
        </w:rPr>
      </w:pPr>
    </w:p>
    <w:p w14:paraId="68A1DC47" w14:textId="77777777" w:rsidR="00AA0113" w:rsidRPr="00E013D7" w:rsidRDefault="00AA0113" w:rsidP="00AA0113">
      <w:pPr>
        <w:jc w:val="center"/>
        <w:rPr>
          <w:sz w:val="24"/>
          <w:szCs w:val="24"/>
        </w:rPr>
      </w:pPr>
      <w:r w:rsidRPr="00E013D7">
        <w:rPr>
          <w:sz w:val="24"/>
          <w:szCs w:val="24"/>
        </w:rPr>
        <w:t>Submitted to:</w:t>
      </w:r>
    </w:p>
    <w:p w14:paraId="22DDB0C1" w14:textId="77777777" w:rsidR="00AD3A96" w:rsidRDefault="00AD3A96" w:rsidP="00AA0113">
      <w:pPr>
        <w:jc w:val="center"/>
        <w:rPr>
          <w:sz w:val="24"/>
          <w:szCs w:val="24"/>
        </w:rPr>
      </w:pPr>
    </w:p>
    <w:p w14:paraId="248C8B6D" w14:textId="2ADAB1A4" w:rsidR="00AA0113" w:rsidRPr="00AD3A96" w:rsidRDefault="00AA0113" w:rsidP="00AA0113">
      <w:pPr>
        <w:jc w:val="center"/>
        <w:rPr>
          <w:b/>
          <w:bCs/>
          <w:sz w:val="24"/>
          <w:szCs w:val="24"/>
        </w:rPr>
      </w:pPr>
      <w:r w:rsidRPr="00AD3A96">
        <w:rPr>
          <w:b/>
          <w:bCs/>
          <w:sz w:val="24"/>
          <w:szCs w:val="24"/>
        </w:rPr>
        <w:t xml:space="preserve">Prof. </w:t>
      </w:r>
      <w:r w:rsidR="00AD3A96" w:rsidRPr="00AD3A96">
        <w:rPr>
          <w:b/>
          <w:bCs/>
          <w:sz w:val="24"/>
          <w:szCs w:val="24"/>
        </w:rPr>
        <w:t>Ivan Pustogarov</w:t>
      </w:r>
    </w:p>
    <w:p w14:paraId="3631AD86" w14:textId="77777777" w:rsidR="00AD3A96" w:rsidRPr="00E013D7" w:rsidRDefault="00AD3A96" w:rsidP="00AA0113">
      <w:pPr>
        <w:jc w:val="center"/>
        <w:rPr>
          <w:sz w:val="24"/>
          <w:szCs w:val="24"/>
        </w:rPr>
      </w:pPr>
    </w:p>
    <w:p w14:paraId="3ECDA333" w14:textId="77777777" w:rsidR="00AA0113" w:rsidRPr="00E013D7" w:rsidRDefault="00AA0113" w:rsidP="00AA0113">
      <w:pPr>
        <w:jc w:val="center"/>
        <w:rPr>
          <w:sz w:val="24"/>
          <w:szCs w:val="24"/>
        </w:rPr>
      </w:pPr>
    </w:p>
    <w:p w14:paraId="71FAA3C1" w14:textId="77777777" w:rsidR="00AA0113" w:rsidRPr="00E013D7" w:rsidRDefault="00AA0113" w:rsidP="00AA0113">
      <w:pPr>
        <w:jc w:val="center"/>
        <w:rPr>
          <w:sz w:val="24"/>
          <w:szCs w:val="24"/>
        </w:rPr>
      </w:pPr>
      <w:r w:rsidRPr="00E013D7">
        <w:rPr>
          <w:sz w:val="24"/>
          <w:szCs w:val="24"/>
        </w:rPr>
        <w:t>By:</w:t>
      </w:r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2160"/>
        <w:gridCol w:w="4135"/>
      </w:tblGrid>
      <w:tr w:rsidR="00AA0113" w:rsidRPr="00E013D7" w14:paraId="4B3376A8" w14:textId="77777777" w:rsidTr="00AD3A96">
        <w:trPr>
          <w:trHeight w:val="251"/>
          <w:jc w:val="center"/>
        </w:trPr>
        <w:tc>
          <w:tcPr>
            <w:tcW w:w="2160" w:type="dxa"/>
          </w:tcPr>
          <w:p w14:paraId="37692736" w14:textId="77777777" w:rsidR="00AA0113" w:rsidRPr="00E013D7" w:rsidRDefault="00AA0113" w:rsidP="00F53117">
            <w:pPr>
              <w:jc w:val="center"/>
              <w:rPr>
                <w:b/>
                <w:bCs/>
                <w:sz w:val="24"/>
                <w:szCs w:val="24"/>
              </w:rPr>
            </w:pPr>
            <w:r w:rsidRPr="00E013D7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35" w:type="dxa"/>
          </w:tcPr>
          <w:p w14:paraId="58122572" w14:textId="77777777" w:rsidR="00AA0113" w:rsidRPr="00E013D7" w:rsidRDefault="00AA0113" w:rsidP="00F53117">
            <w:pPr>
              <w:jc w:val="center"/>
              <w:rPr>
                <w:b/>
                <w:bCs/>
                <w:sz w:val="24"/>
                <w:szCs w:val="24"/>
              </w:rPr>
            </w:pPr>
            <w:r w:rsidRPr="00E013D7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AA0113" w:rsidRPr="00E013D7" w14:paraId="2D159180" w14:textId="77777777" w:rsidTr="00AD3A96">
        <w:trPr>
          <w:trHeight w:val="251"/>
          <w:jc w:val="center"/>
        </w:trPr>
        <w:tc>
          <w:tcPr>
            <w:tcW w:w="2160" w:type="dxa"/>
          </w:tcPr>
          <w:p w14:paraId="105BE89F" w14:textId="05CC671C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40262702</w:t>
            </w:r>
          </w:p>
        </w:tc>
        <w:tc>
          <w:tcPr>
            <w:tcW w:w="4135" w:type="dxa"/>
          </w:tcPr>
          <w:p w14:paraId="30F7CA38" w14:textId="40DE51E6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Zohre Farzaneh Kaloorazi</w:t>
            </w:r>
          </w:p>
        </w:tc>
      </w:tr>
      <w:tr w:rsidR="00AA0113" w:rsidRPr="00E013D7" w14:paraId="510DACC6" w14:textId="77777777" w:rsidTr="00AD3A96">
        <w:trPr>
          <w:trHeight w:val="251"/>
          <w:jc w:val="center"/>
        </w:trPr>
        <w:tc>
          <w:tcPr>
            <w:tcW w:w="2160" w:type="dxa"/>
          </w:tcPr>
          <w:p w14:paraId="2F7B9618" w14:textId="7E9AD805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40225369</w:t>
            </w:r>
          </w:p>
        </w:tc>
        <w:tc>
          <w:tcPr>
            <w:tcW w:w="4135" w:type="dxa"/>
          </w:tcPr>
          <w:p w14:paraId="3339F235" w14:textId="2E24A2E0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Divine Anyalemechi</w:t>
            </w:r>
          </w:p>
        </w:tc>
      </w:tr>
      <w:tr w:rsidR="00AA0113" w:rsidRPr="00E013D7" w14:paraId="159DBE91" w14:textId="77777777" w:rsidTr="00AD3A96">
        <w:trPr>
          <w:trHeight w:val="242"/>
          <w:jc w:val="center"/>
        </w:trPr>
        <w:tc>
          <w:tcPr>
            <w:tcW w:w="2160" w:type="dxa"/>
          </w:tcPr>
          <w:p w14:paraId="14AA19C0" w14:textId="0834C22B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40235545</w:t>
            </w:r>
          </w:p>
        </w:tc>
        <w:tc>
          <w:tcPr>
            <w:tcW w:w="4135" w:type="dxa"/>
          </w:tcPr>
          <w:p w14:paraId="5CAA8ADA" w14:textId="4AA4E847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Adithya Ananth</w:t>
            </w:r>
          </w:p>
        </w:tc>
      </w:tr>
      <w:tr w:rsidR="00AA0113" w:rsidRPr="00E013D7" w14:paraId="10C5E673" w14:textId="77777777" w:rsidTr="00AD3A96">
        <w:trPr>
          <w:trHeight w:val="287"/>
          <w:jc w:val="center"/>
        </w:trPr>
        <w:tc>
          <w:tcPr>
            <w:tcW w:w="2160" w:type="dxa"/>
          </w:tcPr>
          <w:p w14:paraId="5FA46D55" w14:textId="5BE706BD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40273656</w:t>
            </w:r>
          </w:p>
        </w:tc>
        <w:tc>
          <w:tcPr>
            <w:tcW w:w="4135" w:type="dxa"/>
          </w:tcPr>
          <w:p w14:paraId="4203399C" w14:textId="2671A5A9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Oghenerukevwe Oyinloye</w:t>
            </w:r>
          </w:p>
        </w:tc>
      </w:tr>
      <w:tr w:rsidR="00AA0113" w:rsidRPr="00E013D7" w14:paraId="4B1058A0" w14:textId="77777777" w:rsidTr="00AD3A96">
        <w:trPr>
          <w:trHeight w:val="350"/>
          <w:jc w:val="center"/>
        </w:trPr>
        <w:tc>
          <w:tcPr>
            <w:tcW w:w="2160" w:type="dxa"/>
          </w:tcPr>
          <w:p w14:paraId="132675EA" w14:textId="77B689F9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40242392</w:t>
            </w:r>
          </w:p>
        </w:tc>
        <w:tc>
          <w:tcPr>
            <w:tcW w:w="4135" w:type="dxa"/>
          </w:tcPr>
          <w:p w14:paraId="458644F6" w14:textId="2C3F5BB5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Seth Ekow Abaidoo</w:t>
            </w:r>
          </w:p>
        </w:tc>
      </w:tr>
      <w:tr w:rsidR="00AA0113" w:rsidRPr="00E013D7" w14:paraId="48020959" w14:textId="77777777" w:rsidTr="00AD3A96">
        <w:trPr>
          <w:trHeight w:val="350"/>
          <w:jc w:val="center"/>
        </w:trPr>
        <w:tc>
          <w:tcPr>
            <w:tcW w:w="2160" w:type="dxa"/>
          </w:tcPr>
          <w:p w14:paraId="4D24C200" w14:textId="1D680289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40174534</w:t>
            </w:r>
          </w:p>
        </w:tc>
        <w:tc>
          <w:tcPr>
            <w:tcW w:w="4135" w:type="dxa"/>
          </w:tcPr>
          <w:p w14:paraId="1633459B" w14:textId="5538F787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Azeez Ogede</w:t>
            </w:r>
          </w:p>
        </w:tc>
      </w:tr>
      <w:tr w:rsidR="00AA0113" w:rsidRPr="00E013D7" w14:paraId="09F76A1F" w14:textId="77777777" w:rsidTr="00AD3A96">
        <w:trPr>
          <w:trHeight w:val="350"/>
          <w:jc w:val="center"/>
        </w:trPr>
        <w:tc>
          <w:tcPr>
            <w:tcW w:w="2160" w:type="dxa"/>
          </w:tcPr>
          <w:p w14:paraId="112D8476" w14:textId="49690CC8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40278569</w:t>
            </w:r>
          </w:p>
        </w:tc>
        <w:tc>
          <w:tcPr>
            <w:tcW w:w="4135" w:type="dxa"/>
          </w:tcPr>
          <w:p w14:paraId="1A3F5047" w14:textId="5D43B1AD" w:rsidR="00AA0113" w:rsidRPr="00E013D7" w:rsidRDefault="00AD3A96" w:rsidP="00F53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Vaishnavi Naikwade</w:t>
            </w:r>
          </w:p>
        </w:tc>
      </w:tr>
    </w:tbl>
    <w:p w14:paraId="4CDF38EC" w14:textId="77777777" w:rsidR="00AA0113" w:rsidRDefault="00AA0113" w:rsidP="00AA0113">
      <w:pPr>
        <w:jc w:val="center"/>
        <w:rPr>
          <w:sz w:val="24"/>
          <w:szCs w:val="24"/>
        </w:rPr>
      </w:pPr>
    </w:p>
    <w:p w14:paraId="19FF5A05" w14:textId="77777777" w:rsidR="00AD3A96" w:rsidRDefault="00AD3A96" w:rsidP="00AA0113">
      <w:pPr>
        <w:jc w:val="center"/>
        <w:rPr>
          <w:sz w:val="24"/>
          <w:szCs w:val="24"/>
        </w:rPr>
      </w:pPr>
    </w:p>
    <w:p w14:paraId="06946D8A" w14:textId="77777777" w:rsidR="00AD3A96" w:rsidRDefault="00AD3A96" w:rsidP="00AA0113">
      <w:pPr>
        <w:jc w:val="center"/>
        <w:rPr>
          <w:sz w:val="24"/>
          <w:szCs w:val="24"/>
        </w:rPr>
      </w:pPr>
    </w:p>
    <w:p w14:paraId="1CCDA552" w14:textId="77777777" w:rsidR="00AD3A96" w:rsidRDefault="00AD3A96" w:rsidP="00AA0113">
      <w:pPr>
        <w:jc w:val="center"/>
        <w:rPr>
          <w:sz w:val="24"/>
          <w:szCs w:val="24"/>
        </w:rPr>
      </w:pPr>
    </w:p>
    <w:p w14:paraId="6552B5F8" w14:textId="311BCEC0" w:rsidR="00AD3A96" w:rsidRDefault="00AD3A96" w:rsidP="00AA011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25D0C65" w14:textId="77777777" w:rsidR="00AD3A96" w:rsidRDefault="00AD3A96" w:rsidP="00AA0113">
      <w:pPr>
        <w:jc w:val="center"/>
        <w:rPr>
          <w:sz w:val="24"/>
          <w:szCs w:val="24"/>
        </w:rPr>
      </w:pPr>
    </w:p>
    <w:p w14:paraId="17EF8103" w14:textId="56C94426" w:rsidR="00AD3A96" w:rsidRPr="00E013D7" w:rsidRDefault="00AD3A96" w:rsidP="00AA011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January 30, 2024</w:t>
      </w:r>
    </w:p>
    <w:p w14:paraId="2CEF67C1" w14:textId="77777777" w:rsidR="00AA0113" w:rsidRDefault="00AA0113"/>
    <w:p w14:paraId="4E0ABEB3" w14:textId="7A397BC4" w:rsidR="00006812" w:rsidRPr="00E20D8C" w:rsidRDefault="00E67CEA" w:rsidP="00E20D8C">
      <w:pPr>
        <w:jc w:val="both"/>
        <w:rPr>
          <w:sz w:val="24"/>
          <w:szCs w:val="24"/>
        </w:rPr>
      </w:pPr>
      <w:r w:rsidRPr="00E20D8C">
        <w:rPr>
          <w:sz w:val="24"/>
          <w:szCs w:val="24"/>
        </w:rPr>
        <w:lastRenderedPageBreak/>
        <w:t>INTRODUCTION</w:t>
      </w:r>
    </w:p>
    <w:p w14:paraId="0211E967" w14:textId="405ADD52" w:rsidR="00135C3A" w:rsidRPr="00E20D8C" w:rsidRDefault="006F0776" w:rsidP="00E20D8C">
      <w:pPr>
        <w:jc w:val="both"/>
        <w:rPr>
          <w:sz w:val="24"/>
          <w:szCs w:val="24"/>
        </w:rPr>
      </w:pPr>
      <w:r w:rsidRPr="00E20D8C">
        <w:rPr>
          <w:sz w:val="24"/>
          <w:szCs w:val="24"/>
        </w:rPr>
        <w:t>Tetra burst is a radio protocol designed with four different encryption algorithms. The cryptographic primitives used by Tetra are all stream ciphers. These encryption algorithms are allocated to different countries</w:t>
      </w:r>
      <w:r w:rsidR="00135C3A" w:rsidRPr="00E20D8C">
        <w:rPr>
          <w:sz w:val="24"/>
          <w:szCs w:val="24"/>
        </w:rPr>
        <w:t>. These Protocols are allocated such that -</w:t>
      </w:r>
      <w:r w:rsidR="00135C3A" w:rsidRPr="00E20D8C">
        <w:rPr>
          <w:sz w:val="24"/>
          <w:szCs w:val="24"/>
        </w:rPr>
        <w:t>TEA1 (</w:t>
      </w:r>
      <w:r w:rsidR="00135C3A" w:rsidRPr="00E20D8C">
        <w:rPr>
          <w:sz w:val="24"/>
          <w:szCs w:val="24"/>
        </w:rPr>
        <w:t xml:space="preserve">is </w:t>
      </w:r>
      <w:r w:rsidR="00135C3A" w:rsidRPr="00E20D8C">
        <w:rPr>
          <w:sz w:val="24"/>
          <w:szCs w:val="24"/>
        </w:rPr>
        <w:t>used by majority countries including not to export countries</w:t>
      </w:r>
      <w:r w:rsidR="00135C3A" w:rsidRPr="00E20D8C">
        <w:rPr>
          <w:sz w:val="24"/>
          <w:szCs w:val="24"/>
        </w:rPr>
        <w:t xml:space="preserve"> of the EU</w:t>
      </w:r>
      <w:r w:rsidR="00135C3A" w:rsidRPr="00E20D8C">
        <w:rPr>
          <w:sz w:val="24"/>
          <w:szCs w:val="24"/>
        </w:rPr>
        <w:t xml:space="preserve">), TEA2 (reserved for the military), TEA3 (countries the European Union have some relations), TEA4 (no information is given on it hence it is assumed that it isn’t in current use). </w:t>
      </w:r>
    </w:p>
    <w:p w14:paraId="3800EB8B" w14:textId="6A81CFFF" w:rsidR="006F0776" w:rsidRPr="00E20D8C" w:rsidRDefault="00135C3A" w:rsidP="00E20D8C">
      <w:pPr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Research has revealed that </w:t>
      </w:r>
      <w:r w:rsidRPr="00E20D8C">
        <w:rPr>
          <w:sz w:val="24"/>
          <w:szCs w:val="24"/>
        </w:rPr>
        <w:t xml:space="preserve">there are five key vulnerabilities that they observed by reverse engineering </w:t>
      </w:r>
      <w:r w:rsidRPr="00E20D8C">
        <w:rPr>
          <w:sz w:val="24"/>
          <w:szCs w:val="24"/>
        </w:rPr>
        <w:t xml:space="preserve">carried out by the and  midnight blue (2023) and </w:t>
      </w:r>
      <w:r w:rsidRPr="00E20D8C">
        <w:rPr>
          <w:sz w:val="24"/>
          <w:szCs w:val="24"/>
        </w:rPr>
        <w:t>Zahednejad et al.,2020</w:t>
      </w:r>
      <w:r w:rsidRPr="00E20D8C">
        <w:rPr>
          <w:sz w:val="24"/>
          <w:szCs w:val="24"/>
        </w:rPr>
        <w:t xml:space="preserve"> who had earlier mentioned one vulnerability (</w:t>
      </w:r>
      <w:r w:rsidRPr="00E20D8C">
        <w:rPr>
          <w:sz w:val="24"/>
          <w:szCs w:val="24"/>
        </w:rPr>
        <w:t>CVE-2022-24400</w:t>
      </w:r>
      <w:r w:rsidRPr="00E20D8C">
        <w:rPr>
          <w:sz w:val="24"/>
          <w:szCs w:val="24"/>
        </w:rPr>
        <w:t>) in the established vulnerabilities by midnight blue.</w:t>
      </w:r>
    </w:p>
    <w:p w14:paraId="63A323FB" w14:textId="0FAEF107" w:rsidR="00585B10" w:rsidRPr="00E20D8C" w:rsidRDefault="00585B10" w:rsidP="00E20D8C">
      <w:pPr>
        <w:jc w:val="both"/>
        <w:rPr>
          <w:b/>
          <w:bCs/>
          <w:sz w:val="24"/>
          <w:szCs w:val="24"/>
        </w:rPr>
      </w:pPr>
      <w:r w:rsidRPr="00E20D8C">
        <w:rPr>
          <w:b/>
          <w:bCs/>
          <w:sz w:val="24"/>
          <w:szCs w:val="24"/>
        </w:rPr>
        <w:t>PROPOSED PROJECT STRUCTURE</w:t>
      </w:r>
    </w:p>
    <w:p w14:paraId="3A2AF8D4" w14:textId="7515CCBC" w:rsidR="00006812" w:rsidRPr="00E20D8C" w:rsidRDefault="00006812" w:rsidP="00E20D8C">
      <w:pPr>
        <w:jc w:val="both"/>
        <w:rPr>
          <w:sz w:val="24"/>
          <w:szCs w:val="24"/>
        </w:rPr>
      </w:pPr>
      <w:r w:rsidRPr="00E20D8C">
        <w:rPr>
          <w:sz w:val="24"/>
          <w:szCs w:val="24"/>
        </w:rPr>
        <w:t>The team 1 will be working on the security assessment of the Tetra Protocol following these subheadings</w:t>
      </w:r>
      <w:r w:rsidR="006F0776" w:rsidRPr="00E20D8C">
        <w:rPr>
          <w:sz w:val="24"/>
          <w:szCs w:val="24"/>
        </w:rPr>
        <w:t>:</w:t>
      </w:r>
    </w:p>
    <w:p w14:paraId="6D632A78" w14:textId="4E87318F" w:rsidR="00006812" w:rsidRPr="00E20D8C" w:rsidRDefault="00006812" w:rsidP="00E20D8C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Why tetra protocol- </w:t>
      </w:r>
      <w:r w:rsidR="006F0776" w:rsidRPr="00E20D8C">
        <w:rPr>
          <w:sz w:val="24"/>
          <w:szCs w:val="24"/>
        </w:rPr>
        <w:t>T</w:t>
      </w:r>
      <w:r w:rsidRPr="00E20D8C">
        <w:rPr>
          <w:sz w:val="24"/>
          <w:szCs w:val="24"/>
        </w:rPr>
        <w:t xml:space="preserve">he focus is to determine the purpose of the protocol </w:t>
      </w:r>
    </w:p>
    <w:p w14:paraId="6B21B7A0" w14:textId="6462E46B" w:rsidR="00006812" w:rsidRPr="00E20D8C" w:rsidRDefault="00006812" w:rsidP="00E20D8C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What is the protocol- </w:t>
      </w:r>
      <w:r w:rsidR="006F0776" w:rsidRPr="00E20D8C">
        <w:rPr>
          <w:sz w:val="24"/>
          <w:szCs w:val="24"/>
        </w:rPr>
        <w:t>T</w:t>
      </w:r>
      <w:r w:rsidRPr="00E20D8C">
        <w:rPr>
          <w:sz w:val="24"/>
          <w:szCs w:val="24"/>
        </w:rPr>
        <w:t xml:space="preserve">he subsystem of the protocol and techniques used to actualize the protocol, the cryptographic primitives used by the system and </w:t>
      </w:r>
      <w:r w:rsidR="00135C3A" w:rsidRPr="00E20D8C">
        <w:rPr>
          <w:sz w:val="24"/>
          <w:szCs w:val="24"/>
        </w:rPr>
        <w:t xml:space="preserve">attempt to preempt </w:t>
      </w:r>
      <w:r w:rsidRPr="00E20D8C">
        <w:rPr>
          <w:sz w:val="24"/>
          <w:szCs w:val="24"/>
        </w:rPr>
        <w:t>how they interoperate</w:t>
      </w:r>
      <w:r w:rsidR="006F0776" w:rsidRPr="00E20D8C">
        <w:rPr>
          <w:sz w:val="24"/>
          <w:szCs w:val="24"/>
        </w:rPr>
        <w:t>.</w:t>
      </w:r>
    </w:p>
    <w:p w14:paraId="6A4F2F16" w14:textId="0A5BAD12" w:rsidR="00006812" w:rsidRPr="00E20D8C" w:rsidRDefault="00006812" w:rsidP="00E20D8C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How the protocol works- where the protocol has been implemented across different sectors and attempt to determine the</w:t>
      </w:r>
      <w:r w:rsidR="006F0776" w:rsidRPr="00E20D8C">
        <w:rPr>
          <w:sz w:val="24"/>
          <w:szCs w:val="24"/>
        </w:rPr>
        <w:t xml:space="preserve"> abstract</w:t>
      </w:r>
      <w:r w:rsidRPr="00E20D8C">
        <w:rPr>
          <w:sz w:val="24"/>
          <w:szCs w:val="24"/>
        </w:rPr>
        <w:t xml:space="preserve"> model of the protocol</w:t>
      </w:r>
      <w:r w:rsidR="006F0776" w:rsidRPr="00E20D8C">
        <w:rPr>
          <w:sz w:val="24"/>
          <w:szCs w:val="24"/>
        </w:rPr>
        <w:t xml:space="preserve"> that has been broken TEA1.</w:t>
      </w:r>
    </w:p>
    <w:p w14:paraId="0C276F74" w14:textId="4384D9C9" w:rsidR="00006812" w:rsidRPr="00E20D8C" w:rsidRDefault="00006812" w:rsidP="00E20D8C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Vulnerabilities that have been established based on research reviews from 2020 to 2024.</w:t>
      </w:r>
    </w:p>
    <w:p w14:paraId="5A0530C6" w14:textId="54A942BC" w:rsidR="006F0776" w:rsidRPr="00E20D8C" w:rsidRDefault="00AA0113" w:rsidP="00E20D8C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Analyze Risks and Determin</w:t>
      </w:r>
      <w:r w:rsidR="006F0776" w:rsidRPr="00E20D8C">
        <w:rPr>
          <w:sz w:val="24"/>
          <w:szCs w:val="24"/>
        </w:rPr>
        <w:t xml:space="preserve">ation of the </w:t>
      </w:r>
      <w:r w:rsidRPr="00E20D8C">
        <w:rPr>
          <w:sz w:val="24"/>
          <w:szCs w:val="24"/>
        </w:rPr>
        <w:t>Potential Impact</w:t>
      </w:r>
      <w:r w:rsidR="00006812" w:rsidRPr="00E20D8C">
        <w:rPr>
          <w:sz w:val="24"/>
          <w:szCs w:val="24"/>
        </w:rPr>
        <w:t xml:space="preserve"> of the reported </w:t>
      </w:r>
      <w:r w:rsidR="006F0776" w:rsidRPr="00E20D8C">
        <w:rPr>
          <w:sz w:val="24"/>
          <w:szCs w:val="24"/>
        </w:rPr>
        <w:t>vulnerabilities; -</w:t>
      </w:r>
      <w:r w:rsidR="00006812" w:rsidRPr="00E20D8C">
        <w:rPr>
          <w:sz w:val="24"/>
          <w:szCs w:val="24"/>
        </w:rPr>
        <w:t xml:space="preserve"> </w:t>
      </w:r>
      <w:r w:rsidR="006F0776" w:rsidRPr="00E20D8C">
        <w:rPr>
          <w:sz w:val="24"/>
          <w:szCs w:val="24"/>
        </w:rPr>
        <w:t xml:space="preserve">based </w:t>
      </w:r>
      <w:r w:rsidRPr="00E20D8C">
        <w:rPr>
          <w:sz w:val="24"/>
          <w:szCs w:val="24"/>
        </w:rPr>
        <w:t>on</w:t>
      </w:r>
    </w:p>
    <w:p w14:paraId="1DC8ED97" w14:textId="77777777" w:rsidR="006F0776" w:rsidRPr="00E20D8C" w:rsidRDefault="00AA0113" w:rsidP="00E20D8C">
      <w:pPr>
        <w:pStyle w:val="ListParagraph"/>
        <w:numPr>
          <w:ilvl w:val="1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 </w:t>
      </w:r>
      <w:r w:rsidR="00006812" w:rsidRPr="00E20D8C">
        <w:rPr>
          <w:sz w:val="24"/>
          <w:szCs w:val="24"/>
        </w:rPr>
        <w:t>devices</w:t>
      </w:r>
      <w:r w:rsidRPr="00E20D8C">
        <w:rPr>
          <w:sz w:val="24"/>
          <w:szCs w:val="24"/>
        </w:rPr>
        <w:t>,</w:t>
      </w:r>
      <w:r w:rsidR="00006812" w:rsidRPr="00E20D8C">
        <w:rPr>
          <w:sz w:val="24"/>
          <w:szCs w:val="24"/>
        </w:rPr>
        <w:t xml:space="preserve"> the </w:t>
      </w:r>
      <w:r w:rsidRPr="00E20D8C">
        <w:rPr>
          <w:sz w:val="24"/>
          <w:szCs w:val="24"/>
        </w:rPr>
        <w:t xml:space="preserve">data and </w:t>
      </w:r>
      <w:r w:rsidRPr="00E20D8C">
        <w:rPr>
          <w:sz w:val="24"/>
          <w:szCs w:val="24"/>
        </w:rPr>
        <w:t>network traffic</w:t>
      </w:r>
      <w:r w:rsidRPr="00E20D8C">
        <w:rPr>
          <w:sz w:val="24"/>
          <w:szCs w:val="24"/>
        </w:rPr>
        <w:t xml:space="preserve"> </w:t>
      </w:r>
      <w:r w:rsidR="00006812" w:rsidRPr="00E20D8C">
        <w:rPr>
          <w:sz w:val="24"/>
          <w:szCs w:val="24"/>
        </w:rPr>
        <w:t>where it has been deployed,</w:t>
      </w:r>
    </w:p>
    <w:p w14:paraId="447DCC64" w14:textId="77777777" w:rsidR="006F0776" w:rsidRPr="00E20D8C" w:rsidRDefault="00006812" w:rsidP="00E20D8C">
      <w:pPr>
        <w:pStyle w:val="ListParagraph"/>
        <w:numPr>
          <w:ilvl w:val="1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 </w:t>
      </w:r>
      <w:r w:rsidRPr="00E20D8C">
        <w:rPr>
          <w:sz w:val="24"/>
          <w:szCs w:val="24"/>
        </w:rPr>
        <w:t xml:space="preserve">the level of </w:t>
      </w:r>
      <w:r w:rsidRPr="00E20D8C">
        <w:rPr>
          <w:sz w:val="24"/>
          <w:szCs w:val="24"/>
        </w:rPr>
        <w:t>cryptanalysis</w:t>
      </w:r>
      <w:r w:rsidR="00AA0113" w:rsidRPr="00E20D8C">
        <w:rPr>
          <w:sz w:val="24"/>
          <w:szCs w:val="24"/>
        </w:rPr>
        <w:t xml:space="preserve"> and attack</w:t>
      </w:r>
      <w:r w:rsidRPr="00E20D8C">
        <w:rPr>
          <w:sz w:val="24"/>
          <w:szCs w:val="24"/>
        </w:rPr>
        <w:t xml:space="preserve"> </w:t>
      </w:r>
      <w:r w:rsidRPr="00E20D8C">
        <w:rPr>
          <w:sz w:val="24"/>
          <w:szCs w:val="24"/>
        </w:rPr>
        <w:t>that can be done on</w:t>
      </w:r>
      <w:r w:rsidRPr="00E20D8C">
        <w:rPr>
          <w:sz w:val="24"/>
          <w:szCs w:val="24"/>
        </w:rPr>
        <w:t xml:space="preserve"> transmitted data</w:t>
      </w:r>
      <w:r w:rsidR="00AA0113" w:rsidRPr="00E20D8C">
        <w:rPr>
          <w:sz w:val="24"/>
          <w:szCs w:val="24"/>
        </w:rPr>
        <w:t>,</w:t>
      </w:r>
    </w:p>
    <w:p w14:paraId="6BEC4F53" w14:textId="404F7D11" w:rsidR="00AA0113" w:rsidRPr="00E20D8C" w:rsidRDefault="00AA0113" w:rsidP="00E20D8C">
      <w:pPr>
        <w:pStyle w:val="ListParagraph"/>
        <w:numPr>
          <w:ilvl w:val="1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 xml:space="preserve"> </w:t>
      </w:r>
      <w:r w:rsidRPr="00E20D8C">
        <w:rPr>
          <w:sz w:val="24"/>
          <w:szCs w:val="24"/>
        </w:rPr>
        <w:t>potential risk</w:t>
      </w:r>
      <w:r w:rsidRPr="00E20D8C">
        <w:rPr>
          <w:sz w:val="24"/>
          <w:szCs w:val="24"/>
        </w:rPr>
        <w:t xml:space="preserve">- which will be based on these factors- </w:t>
      </w:r>
    </w:p>
    <w:p w14:paraId="63AC133E" w14:textId="77777777" w:rsidR="00AA0113" w:rsidRPr="00E20D8C" w:rsidRDefault="00AA0113" w:rsidP="00E20D8C">
      <w:pPr>
        <w:pStyle w:val="ListParagraph"/>
        <w:numPr>
          <w:ilvl w:val="2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Ease of exploitability</w:t>
      </w:r>
    </w:p>
    <w:p w14:paraId="3FD28D0B" w14:textId="0B79BE3C" w:rsidR="00AA0113" w:rsidRPr="00E20D8C" w:rsidRDefault="00AA0113" w:rsidP="00E20D8C">
      <w:pPr>
        <w:pStyle w:val="ListParagraph"/>
        <w:numPr>
          <w:ilvl w:val="2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Discoverability of the security weakness</w:t>
      </w:r>
    </w:p>
    <w:p w14:paraId="5B6B2789" w14:textId="77777777" w:rsidR="00AA0113" w:rsidRPr="00E20D8C" w:rsidRDefault="00AA0113" w:rsidP="00E20D8C">
      <w:pPr>
        <w:pStyle w:val="ListParagraph"/>
        <w:numPr>
          <w:ilvl w:val="2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lastRenderedPageBreak/>
        <w:t>Reproducibility of threats (some threats are one-time and some are continuous)</w:t>
      </w:r>
    </w:p>
    <w:p w14:paraId="38D88FD5" w14:textId="77777777" w:rsidR="00AA0113" w:rsidRPr="00E20D8C" w:rsidRDefault="00AA0113" w:rsidP="00E20D8C">
      <w:pPr>
        <w:pStyle w:val="ListParagraph"/>
        <w:numPr>
          <w:ilvl w:val="2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Prevalence of the threat in the industry or similar companies</w:t>
      </w:r>
    </w:p>
    <w:p w14:paraId="566E4180" w14:textId="6712A8C8" w:rsidR="00006812" w:rsidRPr="00E20D8C" w:rsidRDefault="00AA0113" w:rsidP="00E20D8C">
      <w:pPr>
        <w:pStyle w:val="ListParagraph"/>
        <w:numPr>
          <w:ilvl w:val="2"/>
          <w:numId w:val="1"/>
        </w:numPr>
        <w:spacing w:line="480" w:lineRule="auto"/>
        <w:jc w:val="both"/>
        <w:rPr>
          <w:sz w:val="24"/>
          <w:szCs w:val="24"/>
        </w:rPr>
      </w:pPr>
      <w:r w:rsidRPr="00E20D8C">
        <w:rPr>
          <w:sz w:val="24"/>
          <w:szCs w:val="24"/>
        </w:rPr>
        <w:t>Historical security incidents</w:t>
      </w:r>
    </w:p>
    <w:p w14:paraId="4F547306" w14:textId="66C264A7" w:rsidR="00AA0113" w:rsidRDefault="00AA0113" w:rsidP="00AA0113"/>
    <w:sectPr w:rsidR="00AA0113" w:rsidSect="00AC12EE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1E90"/>
    <w:multiLevelType w:val="hybridMultilevel"/>
    <w:tmpl w:val="90D6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12"/>
    <w:rsid w:val="00006812"/>
    <w:rsid w:val="00135C3A"/>
    <w:rsid w:val="003E2DB7"/>
    <w:rsid w:val="00585B10"/>
    <w:rsid w:val="006F0776"/>
    <w:rsid w:val="00915F9B"/>
    <w:rsid w:val="00AA0113"/>
    <w:rsid w:val="00AC12EE"/>
    <w:rsid w:val="00AD3A96"/>
    <w:rsid w:val="00DE5F7B"/>
    <w:rsid w:val="00E20D8C"/>
    <w:rsid w:val="00E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6079"/>
  <w15:chartTrackingRefBased/>
  <w15:docId w15:val="{DC52061F-27A6-46BD-A4C3-2061BF58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12"/>
    <w:pPr>
      <w:ind w:left="720"/>
      <w:contextualSpacing/>
    </w:pPr>
  </w:style>
  <w:style w:type="table" w:styleId="TableGrid">
    <w:name w:val="Table Grid"/>
    <w:basedOn w:val="TableNormal"/>
    <w:uiPriority w:val="39"/>
    <w:rsid w:val="00AA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Oghenerukevwe Oyinloye</dc:creator>
  <cp:keywords/>
  <dc:description/>
  <cp:lastModifiedBy>Oghenerukevwe Oyinloye</cp:lastModifiedBy>
  <cp:revision>6</cp:revision>
  <dcterms:created xsi:type="dcterms:W3CDTF">2024-01-30T18:47:00Z</dcterms:created>
  <dcterms:modified xsi:type="dcterms:W3CDTF">2024-01-30T19:24:00Z</dcterms:modified>
</cp:coreProperties>
</file>