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43F80" w14:textId="77777777" w:rsidR="00C102C6" w:rsidRPr="000860E3" w:rsidRDefault="00C102C6" w:rsidP="00C102C6">
      <w:pPr>
        <w:pStyle w:val="ListBullet"/>
        <w:numPr>
          <w:ilvl w:val="0"/>
          <w:numId w:val="0"/>
        </w:numPr>
        <w:ind w:left="360"/>
        <w:rPr>
          <w:b/>
          <w:sz w:val="40"/>
        </w:rPr>
      </w:pPr>
      <w:r w:rsidRPr="000860E3">
        <w:rPr>
          <w:b/>
          <w:noProof/>
          <w:sz w:val="40"/>
          <w:lang w:eastAsia="en-GB"/>
        </w:rPr>
        <w:drawing>
          <wp:anchor distT="0" distB="0" distL="114935" distR="114935" simplePos="0" relativeHeight="251659264" behindDoc="0" locked="0" layoutInCell="1" allowOverlap="1" wp14:anchorId="318A4EB6" wp14:editId="21FA79C8">
            <wp:simplePos x="0" y="0"/>
            <wp:positionH relativeFrom="column">
              <wp:posOffset>0</wp:posOffset>
            </wp:positionH>
            <wp:positionV relativeFrom="paragraph">
              <wp:posOffset>-231140</wp:posOffset>
            </wp:positionV>
            <wp:extent cx="1028065" cy="1021080"/>
            <wp:effectExtent l="0" t="0" r="635" b="762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065" cy="10210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0860E3">
        <w:rPr>
          <w:b/>
          <w:sz w:val="40"/>
        </w:rPr>
        <w:t>INSPIRE</w:t>
      </w:r>
    </w:p>
    <w:p w14:paraId="6014FE25" w14:textId="77777777" w:rsidR="00C102C6" w:rsidRPr="000860E3" w:rsidRDefault="00C102C6" w:rsidP="00C102C6">
      <w:pPr>
        <w:jc w:val="both"/>
        <w:rPr>
          <w:b/>
          <w:sz w:val="28"/>
          <w:lang w:val="en-GB"/>
        </w:rPr>
      </w:pPr>
      <w:r w:rsidRPr="000860E3">
        <w:rPr>
          <w:b/>
          <w:sz w:val="28"/>
          <w:lang w:val="en-GB"/>
        </w:rPr>
        <w:t>Infrastructure for Spatial Information in Europe</w:t>
      </w:r>
    </w:p>
    <w:p w14:paraId="2066B9D2" w14:textId="77777777" w:rsidR="00C102C6" w:rsidRPr="000860E3" w:rsidRDefault="00C102C6" w:rsidP="00C102C6">
      <w:pPr>
        <w:tabs>
          <w:tab w:val="left" w:pos="851"/>
        </w:tabs>
        <w:overflowPunct w:val="0"/>
        <w:autoSpaceDE w:val="0"/>
        <w:spacing w:before="120" w:line="240" w:lineRule="auto"/>
        <w:jc w:val="both"/>
        <w:rPr>
          <w:rFonts w:ascii="Arial" w:hAnsi="Arial" w:cs="Arial"/>
          <w:sz w:val="40"/>
          <w:szCs w:val="20"/>
          <w:lang w:val="en-GB" w:eastAsia="zh-CN"/>
        </w:rPr>
      </w:pPr>
    </w:p>
    <w:p w14:paraId="211EA315" w14:textId="77777777" w:rsidR="00C102C6" w:rsidRPr="000860E3" w:rsidRDefault="00C102C6" w:rsidP="00C102C6">
      <w:pPr>
        <w:pStyle w:val="Title"/>
        <w:jc w:val="both"/>
        <w:rPr>
          <w:sz w:val="44"/>
          <w:lang w:val="en-GB"/>
        </w:rPr>
      </w:pPr>
    </w:p>
    <w:p w14:paraId="7FDF892B" w14:textId="4F9B733B" w:rsidR="00791797" w:rsidRPr="000860E3" w:rsidRDefault="00791797" w:rsidP="00C102C6">
      <w:pPr>
        <w:tabs>
          <w:tab w:val="left" w:pos="851"/>
        </w:tabs>
        <w:overflowPunct w:val="0"/>
        <w:autoSpaceDE w:val="0"/>
        <w:spacing w:before="120" w:line="240" w:lineRule="auto"/>
        <w:jc w:val="both"/>
        <w:rPr>
          <w:sz w:val="44"/>
          <w:lang w:val="en-GB"/>
        </w:rPr>
      </w:pPr>
      <w:r w:rsidRPr="000860E3">
        <w:rPr>
          <w:sz w:val="44"/>
          <w:lang w:val="en-GB"/>
        </w:rPr>
        <w:t>Harmonised and non-harmonised data</w:t>
      </w:r>
      <w:r w:rsidR="006A5CCC" w:rsidRPr="000860E3">
        <w:rPr>
          <w:sz w:val="44"/>
          <w:lang w:val="en-GB"/>
        </w:rPr>
        <w:t xml:space="preserve"> </w:t>
      </w:r>
      <w:r w:rsidRPr="000860E3">
        <w:rPr>
          <w:sz w:val="44"/>
          <w:lang w:val="en-GB"/>
        </w:rPr>
        <w:t>sets in INSPIRE</w:t>
      </w:r>
    </w:p>
    <w:p w14:paraId="3A2B9B58" w14:textId="35959C41" w:rsidR="00C102C6" w:rsidRPr="000860E3" w:rsidRDefault="00791797" w:rsidP="00C102C6">
      <w:pPr>
        <w:tabs>
          <w:tab w:val="left" w:pos="851"/>
        </w:tabs>
        <w:overflowPunct w:val="0"/>
        <w:autoSpaceDE w:val="0"/>
        <w:spacing w:before="120" w:line="240" w:lineRule="auto"/>
        <w:jc w:val="both"/>
        <w:rPr>
          <w:rFonts w:ascii="Arial" w:hAnsi="Arial" w:cs="Arial"/>
          <w:sz w:val="28"/>
          <w:szCs w:val="20"/>
          <w:lang w:val="en-GB" w:eastAsia="zh-CN"/>
        </w:rPr>
      </w:pPr>
      <w:r w:rsidRPr="000860E3">
        <w:rPr>
          <w:rFonts w:ascii="Arial" w:hAnsi="Arial" w:cs="Arial"/>
          <w:sz w:val="28"/>
          <w:szCs w:val="20"/>
          <w:lang w:val="en-GB" w:eastAsia="zh-CN"/>
        </w:rPr>
        <w:t>MIG mini-Workshop</w:t>
      </w:r>
    </w:p>
    <w:p w14:paraId="47983B96" w14:textId="77777777" w:rsidR="00DE334B" w:rsidRPr="000860E3" w:rsidRDefault="00DE334B" w:rsidP="00C102C6">
      <w:pPr>
        <w:tabs>
          <w:tab w:val="left" w:pos="851"/>
        </w:tabs>
        <w:overflowPunct w:val="0"/>
        <w:autoSpaceDE w:val="0"/>
        <w:spacing w:before="120" w:line="240" w:lineRule="auto"/>
        <w:jc w:val="both"/>
        <w:rPr>
          <w:rFonts w:ascii="Arial" w:hAnsi="Arial" w:cs="Arial"/>
          <w:sz w:val="40"/>
          <w:szCs w:val="20"/>
          <w:lang w:val="en-GB" w:eastAsia="zh-CN"/>
        </w:rPr>
      </w:pPr>
    </w:p>
    <w:tbl>
      <w:tblPr>
        <w:tblW w:w="9211"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055"/>
        <w:gridCol w:w="7156"/>
      </w:tblGrid>
      <w:tr w:rsidR="00C102C6" w:rsidRPr="000860E3" w14:paraId="6325E03D" w14:textId="77777777" w:rsidTr="002C65C8">
        <w:tc>
          <w:tcPr>
            <w:tcW w:w="2055" w:type="dxa"/>
            <w:shd w:val="clear" w:color="auto" w:fill="auto"/>
          </w:tcPr>
          <w:p w14:paraId="35F35211" w14:textId="77777777" w:rsidR="00C102C6" w:rsidRPr="000860E3" w:rsidRDefault="00C102C6" w:rsidP="002C65C8">
            <w:pPr>
              <w:overflowPunct w:val="0"/>
              <w:autoSpaceDE w:val="0"/>
              <w:spacing w:before="60" w:after="60" w:line="240" w:lineRule="auto"/>
              <w:jc w:val="both"/>
              <w:rPr>
                <w:rFonts w:ascii="Arial" w:hAnsi="Arial" w:cs="Arial"/>
                <w:b/>
                <w:bCs/>
                <w:sz w:val="20"/>
                <w:szCs w:val="20"/>
                <w:lang w:val="en-GB" w:eastAsia="zh-CN"/>
              </w:rPr>
            </w:pPr>
            <w:r w:rsidRPr="000860E3">
              <w:rPr>
                <w:rFonts w:ascii="Arial" w:hAnsi="Arial" w:cs="Arial"/>
                <w:b/>
                <w:bCs/>
                <w:sz w:val="20"/>
                <w:szCs w:val="20"/>
                <w:lang w:val="en-GB" w:eastAsia="zh-CN"/>
              </w:rPr>
              <w:t>Type</w:t>
            </w:r>
          </w:p>
        </w:tc>
        <w:tc>
          <w:tcPr>
            <w:tcW w:w="7156" w:type="dxa"/>
            <w:shd w:val="clear" w:color="auto" w:fill="auto"/>
          </w:tcPr>
          <w:p w14:paraId="52A01A82" w14:textId="73649101" w:rsidR="00C102C6" w:rsidRPr="000860E3" w:rsidRDefault="00CD080B" w:rsidP="00667F00">
            <w:pPr>
              <w:overflowPunct w:val="0"/>
              <w:autoSpaceDE w:val="0"/>
              <w:spacing w:before="120" w:after="120" w:line="240" w:lineRule="auto"/>
              <w:jc w:val="both"/>
              <w:rPr>
                <w:rFonts w:ascii="Arial" w:hAnsi="Arial" w:cs="Arial"/>
                <w:sz w:val="20"/>
                <w:szCs w:val="20"/>
                <w:lang w:val="en-GB" w:eastAsia="zh-CN"/>
              </w:rPr>
            </w:pPr>
            <w:r w:rsidRPr="000860E3">
              <w:rPr>
                <w:rFonts w:ascii="Arial" w:hAnsi="Arial" w:cs="Arial"/>
                <w:sz w:val="20"/>
                <w:szCs w:val="20"/>
                <w:lang w:val="en-GB" w:eastAsia="zh-CN"/>
              </w:rPr>
              <w:t xml:space="preserve">Workshop </w:t>
            </w:r>
            <w:r w:rsidR="00667F00" w:rsidRPr="000860E3">
              <w:rPr>
                <w:rFonts w:ascii="Arial" w:hAnsi="Arial" w:cs="Arial"/>
                <w:sz w:val="20"/>
                <w:szCs w:val="20"/>
                <w:lang w:val="en-GB" w:eastAsia="zh-CN"/>
              </w:rPr>
              <w:t>report</w:t>
            </w:r>
          </w:p>
        </w:tc>
      </w:tr>
      <w:tr w:rsidR="00C102C6" w:rsidRPr="000860E3" w14:paraId="7C9BAB0F" w14:textId="77777777" w:rsidTr="002C65C8">
        <w:tc>
          <w:tcPr>
            <w:tcW w:w="2055" w:type="dxa"/>
            <w:shd w:val="clear" w:color="auto" w:fill="auto"/>
          </w:tcPr>
          <w:p w14:paraId="3F187D65" w14:textId="77777777" w:rsidR="00C102C6" w:rsidRPr="000860E3" w:rsidRDefault="00C102C6" w:rsidP="002C65C8">
            <w:pPr>
              <w:overflowPunct w:val="0"/>
              <w:autoSpaceDE w:val="0"/>
              <w:spacing w:before="120" w:after="120" w:line="240" w:lineRule="auto"/>
              <w:jc w:val="both"/>
              <w:rPr>
                <w:rFonts w:ascii="Arial" w:hAnsi="Arial" w:cs="Arial"/>
                <w:b/>
                <w:sz w:val="20"/>
                <w:szCs w:val="20"/>
                <w:lang w:val="en-GB" w:eastAsia="zh-CN"/>
              </w:rPr>
            </w:pPr>
            <w:r w:rsidRPr="000860E3">
              <w:rPr>
                <w:rFonts w:ascii="Arial" w:hAnsi="Arial" w:cs="Arial"/>
                <w:b/>
                <w:sz w:val="20"/>
                <w:szCs w:val="20"/>
                <w:lang w:val="en-GB" w:eastAsia="zh-CN"/>
              </w:rPr>
              <w:t>Creator</w:t>
            </w:r>
          </w:p>
        </w:tc>
        <w:tc>
          <w:tcPr>
            <w:tcW w:w="7156" w:type="dxa"/>
            <w:shd w:val="clear" w:color="auto" w:fill="auto"/>
          </w:tcPr>
          <w:p w14:paraId="298F617C" w14:textId="4060E69A" w:rsidR="00C102C6" w:rsidRPr="000860E3" w:rsidRDefault="00C102C6" w:rsidP="00791797">
            <w:pPr>
              <w:overflowPunct w:val="0"/>
              <w:autoSpaceDE w:val="0"/>
              <w:spacing w:before="120" w:after="120" w:line="240" w:lineRule="auto"/>
              <w:jc w:val="both"/>
              <w:rPr>
                <w:rFonts w:ascii="Arial" w:hAnsi="Arial" w:cs="Arial"/>
                <w:b/>
                <w:sz w:val="20"/>
                <w:szCs w:val="20"/>
                <w:lang w:val="en-GB" w:eastAsia="zh-CN"/>
              </w:rPr>
            </w:pPr>
            <w:r w:rsidRPr="000860E3">
              <w:rPr>
                <w:rFonts w:ascii="Arial" w:hAnsi="Arial" w:cs="Arial"/>
                <w:sz w:val="20"/>
                <w:szCs w:val="20"/>
                <w:lang w:val="en-GB" w:eastAsia="zh-CN"/>
              </w:rPr>
              <w:t>DG ENV</w:t>
            </w:r>
          </w:p>
        </w:tc>
      </w:tr>
      <w:tr w:rsidR="00C102C6" w:rsidRPr="000860E3" w14:paraId="0F555CC1" w14:textId="77777777" w:rsidTr="002C65C8">
        <w:tc>
          <w:tcPr>
            <w:tcW w:w="2055" w:type="dxa"/>
            <w:shd w:val="clear" w:color="auto" w:fill="auto"/>
          </w:tcPr>
          <w:p w14:paraId="7AFE568E" w14:textId="77777777" w:rsidR="00C102C6" w:rsidRPr="000860E3" w:rsidRDefault="00C102C6" w:rsidP="002C65C8">
            <w:pPr>
              <w:overflowPunct w:val="0"/>
              <w:autoSpaceDE w:val="0"/>
              <w:spacing w:before="120" w:after="120" w:line="240" w:lineRule="auto"/>
              <w:jc w:val="both"/>
              <w:rPr>
                <w:rFonts w:ascii="Arial" w:hAnsi="Arial" w:cs="Arial"/>
                <w:b/>
                <w:sz w:val="20"/>
                <w:szCs w:val="20"/>
                <w:lang w:val="en-GB" w:eastAsia="zh-CN"/>
              </w:rPr>
            </w:pPr>
            <w:r w:rsidRPr="000860E3">
              <w:rPr>
                <w:rFonts w:ascii="Arial" w:hAnsi="Arial" w:cs="Arial"/>
                <w:b/>
                <w:sz w:val="20"/>
                <w:szCs w:val="20"/>
                <w:lang w:val="en-GB" w:eastAsia="zh-CN"/>
              </w:rPr>
              <w:t>Date/status/version</w:t>
            </w:r>
          </w:p>
        </w:tc>
        <w:tc>
          <w:tcPr>
            <w:tcW w:w="7156" w:type="dxa"/>
            <w:shd w:val="clear" w:color="auto" w:fill="auto"/>
          </w:tcPr>
          <w:p w14:paraId="0A4B8C63" w14:textId="263F6FC8" w:rsidR="00C102C6" w:rsidRPr="000860E3" w:rsidRDefault="0005311F" w:rsidP="0005311F">
            <w:pPr>
              <w:overflowPunct w:val="0"/>
              <w:autoSpaceDE w:val="0"/>
              <w:spacing w:before="120" w:after="120" w:line="240" w:lineRule="auto"/>
              <w:jc w:val="both"/>
              <w:rPr>
                <w:rFonts w:ascii="Arial" w:hAnsi="Arial" w:cs="Arial"/>
                <w:sz w:val="20"/>
                <w:szCs w:val="20"/>
                <w:lang w:val="en-GB" w:eastAsia="zh-CN"/>
              </w:rPr>
            </w:pPr>
            <w:r>
              <w:rPr>
                <w:rFonts w:ascii="Arial" w:hAnsi="Arial" w:cs="Arial"/>
                <w:sz w:val="20"/>
                <w:szCs w:val="20"/>
                <w:lang w:val="en-GB" w:eastAsia="zh-CN"/>
              </w:rPr>
              <w:t>26</w:t>
            </w:r>
            <w:r w:rsidR="00501940" w:rsidRPr="000860E3">
              <w:rPr>
                <w:rFonts w:ascii="Arial" w:hAnsi="Arial" w:cs="Arial"/>
                <w:sz w:val="20"/>
                <w:szCs w:val="20"/>
                <w:lang w:val="en-GB" w:eastAsia="zh-CN"/>
              </w:rPr>
              <w:t>-</w:t>
            </w:r>
            <w:r w:rsidR="00791797" w:rsidRPr="000860E3">
              <w:rPr>
                <w:rFonts w:ascii="Arial" w:hAnsi="Arial" w:cs="Arial"/>
                <w:sz w:val="20"/>
                <w:szCs w:val="20"/>
                <w:lang w:val="en-GB" w:eastAsia="zh-CN"/>
              </w:rPr>
              <w:t>0</w:t>
            </w:r>
            <w:r w:rsidR="00667F00" w:rsidRPr="000860E3">
              <w:rPr>
                <w:rFonts w:ascii="Arial" w:hAnsi="Arial" w:cs="Arial"/>
                <w:sz w:val="20"/>
                <w:szCs w:val="20"/>
                <w:lang w:val="en-GB" w:eastAsia="zh-CN"/>
              </w:rPr>
              <w:t>7</w:t>
            </w:r>
            <w:r w:rsidR="00501940" w:rsidRPr="000860E3">
              <w:rPr>
                <w:rFonts w:ascii="Arial" w:hAnsi="Arial" w:cs="Arial"/>
                <w:sz w:val="20"/>
                <w:szCs w:val="20"/>
                <w:lang w:val="en-GB" w:eastAsia="zh-CN"/>
              </w:rPr>
              <w:t>-</w:t>
            </w:r>
            <w:r w:rsidR="00C102C6" w:rsidRPr="000860E3">
              <w:rPr>
                <w:rFonts w:ascii="Arial" w:hAnsi="Arial" w:cs="Arial"/>
                <w:sz w:val="20"/>
                <w:szCs w:val="20"/>
                <w:lang w:val="en-GB" w:eastAsia="zh-CN"/>
              </w:rPr>
              <w:t>20</w:t>
            </w:r>
            <w:r w:rsidR="00791797" w:rsidRPr="000860E3">
              <w:rPr>
                <w:rFonts w:ascii="Arial" w:hAnsi="Arial" w:cs="Arial"/>
                <w:sz w:val="20"/>
                <w:szCs w:val="20"/>
                <w:lang w:val="en-GB" w:eastAsia="zh-CN"/>
              </w:rPr>
              <w:t>21</w:t>
            </w:r>
            <w:r w:rsidR="00461787" w:rsidRPr="000860E3">
              <w:rPr>
                <w:rFonts w:ascii="Arial" w:hAnsi="Arial" w:cs="Arial"/>
                <w:sz w:val="20"/>
                <w:szCs w:val="20"/>
                <w:lang w:val="en-GB" w:eastAsia="zh-CN"/>
              </w:rPr>
              <w:t xml:space="preserve"> </w:t>
            </w:r>
            <w:r w:rsidR="00C102C6" w:rsidRPr="000860E3">
              <w:rPr>
                <w:rFonts w:ascii="Arial" w:hAnsi="Arial" w:cs="Arial"/>
                <w:sz w:val="20"/>
                <w:szCs w:val="20"/>
                <w:lang w:val="en-GB" w:eastAsia="zh-CN"/>
              </w:rPr>
              <w:t>/</w:t>
            </w:r>
            <w:r w:rsidR="00461787" w:rsidRPr="000860E3">
              <w:rPr>
                <w:rFonts w:ascii="Arial" w:hAnsi="Arial" w:cs="Arial"/>
                <w:sz w:val="20"/>
                <w:szCs w:val="20"/>
                <w:lang w:val="en-GB" w:eastAsia="zh-CN"/>
              </w:rPr>
              <w:t xml:space="preserve"> </w:t>
            </w:r>
            <w:r w:rsidR="00667F00" w:rsidRPr="000860E3">
              <w:rPr>
                <w:rFonts w:ascii="Arial" w:hAnsi="Arial" w:cs="Arial"/>
                <w:sz w:val="20"/>
                <w:szCs w:val="20"/>
                <w:lang w:val="en-GB" w:eastAsia="zh-CN"/>
              </w:rPr>
              <w:t>DRAFT</w:t>
            </w:r>
            <w:r w:rsidR="00461787" w:rsidRPr="000860E3">
              <w:rPr>
                <w:rFonts w:ascii="Arial" w:hAnsi="Arial" w:cs="Arial"/>
                <w:sz w:val="20"/>
                <w:szCs w:val="20"/>
                <w:lang w:val="en-GB" w:eastAsia="zh-CN"/>
              </w:rPr>
              <w:t xml:space="preserve"> </w:t>
            </w:r>
            <w:r w:rsidR="00C102C6" w:rsidRPr="000860E3">
              <w:rPr>
                <w:rFonts w:ascii="Arial" w:hAnsi="Arial" w:cs="Arial"/>
                <w:sz w:val="20"/>
                <w:szCs w:val="20"/>
                <w:lang w:val="en-GB" w:eastAsia="zh-CN"/>
              </w:rPr>
              <w:t>/</w:t>
            </w:r>
            <w:r w:rsidR="00461787" w:rsidRPr="000860E3">
              <w:rPr>
                <w:rFonts w:ascii="Arial" w:hAnsi="Arial" w:cs="Arial"/>
                <w:sz w:val="20"/>
                <w:szCs w:val="20"/>
                <w:lang w:val="en-GB" w:eastAsia="zh-CN"/>
              </w:rPr>
              <w:t xml:space="preserve"> </w:t>
            </w:r>
            <w:r w:rsidR="00C102C6" w:rsidRPr="000860E3">
              <w:rPr>
                <w:rFonts w:ascii="Arial" w:hAnsi="Arial" w:cs="Arial"/>
                <w:sz w:val="20"/>
                <w:szCs w:val="20"/>
                <w:lang w:val="en-GB" w:eastAsia="zh-CN"/>
              </w:rPr>
              <w:t xml:space="preserve">version </w:t>
            </w:r>
            <w:r w:rsidR="00501940" w:rsidRPr="000860E3">
              <w:rPr>
                <w:rFonts w:ascii="Arial" w:hAnsi="Arial" w:cs="Arial"/>
                <w:sz w:val="20"/>
                <w:szCs w:val="20"/>
                <w:lang w:val="en-GB" w:eastAsia="zh-CN"/>
              </w:rPr>
              <w:t>0</w:t>
            </w:r>
            <w:r w:rsidR="00461787" w:rsidRPr="000860E3">
              <w:rPr>
                <w:rFonts w:ascii="Arial" w:hAnsi="Arial" w:cs="Arial"/>
                <w:sz w:val="20"/>
                <w:szCs w:val="20"/>
                <w:lang w:val="en-GB" w:eastAsia="zh-CN"/>
              </w:rPr>
              <w:t>.</w:t>
            </w:r>
            <w:r>
              <w:rPr>
                <w:rFonts w:ascii="Arial" w:hAnsi="Arial" w:cs="Arial"/>
                <w:sz w:val="20"/>
                <w:szCs w:val="20"/>
                <w:lang w:val="en-GB" w:eastAsia="zh-CN"/>
              </w:rPr>
              <w:t>3</w:t>
            </w:r>
          </w:p>
        </w:tc>
      </w:tr>
      <w:tr w:rsidR="00C102C6" w:rsidRPr="000860E3" w14:paraId="43A72749" w14:textId="77777777" w:rsidTr="002C65C8">
        <w:tc>
          <w:tcPr>
            <w:tcW w:w="2055" w:type="dxa"/>
            <w:shd w:val="clear" w:color="auto" w:fill="auto"/>
          </w:tcPr>
          <w:p w14:paraId="58D400B9" w14:textId="77777777" w:rsidR="00C102C6" w:rsidRPr="000860E3" w:rsidRDefault="00C102C6" w:rsidP="002C65C8">
            <w:pPr>
              <w:overflowPunct w:val="0"/>
              <w:autoSpaceDE w:val="0"/>
              <w:spacing w:before="120" w:after="120" w:line="240" w:lineRule="auto"/>
              <w:jc w:val="both"/>
              <w:rPr>
                <w:rFonts w:ascii="Arial" w:hAnsi="Arial" w:cs="Arial"/>
                <w:b/>
                <w:sz w:val="20"/>
                <w:szCs w:val="20"/>
                <w:lang w:val="en-GB" w:eastAsia="zh-CN"/>
              </w:rPr>
            </w:pPr>
            <w:r w:rsidRPr="000860E3">
              <w:rPr>
                <w:rFonts w:ascii="Arial" w:hAnsi="Arial" w:cs="Arial"/>
                <w:b/>
                <w:sz w:val="20"/>
                <w:szCs w:val="20"/>
                <w:lang w:val="en-GB" w:eastAsia="zh-CN"/>
              </w:rPr>
              <w:t>Addressee</w:t>
            </w:r>
          </w:p>
        </w:tc>
        <w:tc>
          <w:tcPr>
            <w:tcW w:w="7156" w:type="dxa"/>
            <w:shd w:val="clear" w:color="auto" w:fill="auto"/>
          </w:tcPr>
          <w:p w14:paraId="582CA447" w14:textId="4526E35C" w:rsidR="00C102C6" w:rsidRPr="000860E3" w:rsidRDefault="00017F0B" w:rsidP="00791797">
            <w:pPr>
              <w:overflowPunct w:val="0"/>
              <w:autoSpaceDE w:val="0"/>
              <w:spacing w:before="120" w:after="120" w:line="240" w:lineRule="auto"/>
              <w:jc w:val="both"/>
              <w:rPr>
                <w:rFonts w:ascii="Arial" w:hAnsi="Arial" w:cs="Arial"/>
                <w:sz w:val="20"/>
                <w:szCs w:val="20"/>
                <w:lang w:val="en-GB" w:eastAsia="zh-CN"/>
              </w:rPr>
            </w:pPr>
            <w:r w:rsidRPr="000860E3">
              <w:rPr>
                <w:rFonts w:ascii="Arial" w:hAnsi="Arial" w:cs="Arial"/>
                <w:sz w:val="20"/>
                <w:szCs w:val="20"/>
                <w:lang w:val="en-GB" w:eastAsia="zh-CN"/>
              </w:rPr>
              <w:t>MIG</w:t>
            </w:r>
            <w:r w:rsidR="00C102C6" w:rsidRPr="000860E3">
              <w:rPr>
                <w:rFonts w:ascii="Arial" w:hAnsi="Arial" w:cs="Arial"/>
                <w:sz w:val="20"/>
                <w:szCs w:val="20"/>
                <w:lang w:val="en-GB" w:eastAsia="zh-CN"/>
              </w:rPr>
              <w:t xml:space="preserve"> </w:t>
            </w:r>
          </w:p>
        </w:tc>
      </w:tr>
      <w:tr w:rsidR="00C102C6" w:rsidRPr="000860E3" w14:paraId="07E3AE5E" w14:textId="77777777" w:rsidTr="002C65C8">
        <w:tc>
          <w:tcPr>
            <w:tcW w:w="2055" w:type="dxa"/>
            <w:tcBorders>
              <w:bottom w:val="nil"/>
            </w:tcBorders>
            <w:shd w:val="clear" w:color="auto" w:fill="auto"/>
          </w:tcPr>
          <w:p w14:paraId="7E9B0025" w14:textId="77777777" w:rsidR="00C102C6" w:rsidRPr="000860E3" w:rsidRDefault="00C102C6" w:rsidP="002C65C8">
            <w:pPr>
              <w:overflowPunct w:val="0"/>
              <w:autoSpaceDE w:val="0"/>
              <w:spacing w:before="120" w:after="120" w:line="240" w:lineRule="auto"/>
              <w:jc w:val="both"/>
              <w:rPr>
                <w:rFonts w:ascii="Arial" w:hAnsi="Arial" w:cs="Arial"/>
                <w:b/>
                <w:sz w:val="20"/>
                <w:szCs w:val="20"/>
                <w:lang w:val="en-GB" w:eastAsia="zh-CN"/>
              </w:rPr>
            </w:pPr>
            <w:r w:rsidRPr="000860E3">
              <w:rPr>
                <w:rFonts w:ascii="Arial" w:hAnsi="Arial" w:cs="Arial"/>
                <w:b/>
                <w:sz w:val="20"/>
                <w:szCs w:val="20"/>
                <w:lang w:val="en-GB" w:eastAsia="zh-CN"/>
              </w:rPr>
              <w:t>Identifier</w:t>
            </w:r>
          </w:p>
        </w:tc>
        <w:tc>
          <w:tcPr>
            <w:tcW w:w="7156" w:type="dxa"/>
            <w:tcBorders>
              <w:bottom w:val="nil"/>
            </w:tcBorders>
            <w:shd w:val="clear" w:color="auto" w:fill="auto"/>
          </w:tcPr>
          <w:p w14:paraId="1B618979" w14:textId="135F28DE" w:rsidR="00C102C6" w:rsidRPr="000860E3" w:rsidRDefault="00C102C6" w:rsidP="00461787">
            <w:pPr>
              <w:overflowPunct w:val="0"/>
              <w:autoSpaceDE w:val="0"/>
              <w:spacing w:before="120" w:after="120" w:line="240" w:lineRule="auto"/>
              <w:jc w:val="both"/>
              <w:rPr>
                <w:rFonts w:ascii="Arial" w:hAnsi="Arial" w:cs="Arial"/>
                <w:b/>
                <w:sz w:val="20"/>
                <w:szCs w:val="20"/>
                <w:lang w:val="en-GB" w:eastAsia="zh-CN"/>
              </w:rPr>
            </w:pPr>
            <w:r w:rsidRPr="000860E3">
              <w:rPr>
                <w:rFonts w:ascii="Arial" w:hAnsi="Arial" w:cs="Arial"/>
                <w:b/>
                <w:sz w:val="20"/>
                <w:szCs w:val="20"/>
                <w:lang w:val="en-GB" w:eastAsia="zh-CN"/>
              </w:rPr>
              <w:t>[DOC</w:t>
            </w:r>
            <w:r w:rsidR="00461787" w:rsidRPr="000860E3">
              <w:rPr>
                <w:rFonts w:ascii="Arial" w:hAnsi="Arial" w:cs="Arial"/>
                <w:b/>
                <w:sz w:val="20"/>
                <w:szCs w:val="20"/>
                <w:lang w:val="en-GB" w:eastAsia="zh-CN"/>
              </w:rPr>
              <w:t>4</w:t>
            </w:r>
            <w:r w:rsidR="00667F00" w:rsidRPr="000860E3">
              <w:rPr>
                <w:rFonts w:ascii="Arial" w:hAnsi="Arial" w:cs="Arial"/>
                <w:b/>
                <w:sz w:val="20"/>
                <w:szCs w:val="20"/>
                <w:lang w:val="en-GB" w:eastAsia="zh-CN"/>
              </w:rPr>
              <w:t>/REPORT</w:t>
            </w:r>
            <w:r w:rsidRPr="000860E3">
              <w:rPr>
                <w:rFonts w:ascii="Arial" w:hAnsi="Arial" w:cs="Arial"/>
                <w:b/>
                <w:sz w:val="20"/>
                <w:szCs w:val="20"/>
                <w:lang w:val="en-GB" w:eastAsia="zh-CN"/>
              </w:rPr>
              <w:t xml:space="preserve">] </w:t>
            </w:r>
          </w:p>
        </w:tc>
      </w:tr>
      <w:tr w:rsidR="00C102C6" w:rsidRPr="000860E3" w14:paraId="71C1F62B" w14:textId="77777777" w:rsidTr="002C65C8">
        <w:tc>
          <w:tcPr>
            <w:tcW w:w="2055" w:type="dxa"/>
            <w:tcBorders>
              <w:top w:val="nil"/>
              <w:bottom w:val="single" w:sz="4" w:space="0" w:color="auto"/>
            </w:tcBorders>
            <w:shd w:val="clear" w:color="auto" w:fill="auto"/>
          </w:tcPr>
          <w:p w14:paraId="44A50398" w14:textId="77777777" w:rsidR="00C102C6" w:rsidRPr="000860E3" w:rsidRDefault="00C102C6" w:rsidP="002C65C8">
            <w:pPr>
              <w:spacing w:after="120"/>
              <w:jc w:val="both"/>
              <w:rPr>
                <w:rFonts w:ascii="Arial" w:hAnsi="Arial" w:cs="Arial"/>
                <w:sz w:val="20"/>
                <w:szCs w:val="20"/>
                <w:lang w:val="en-GB" w:eastAsia="zh-CN"/>
              </w:rPr>
            </w:pPr>
            <w:r w:rsidRPr="000860E3">
              <w:rPr>
                <w:rFonts w:ascii="Arial" w:hAnsi="Arial" w:cs="Arial"/>
                <w:sz w:val="20"/>
                <w:szCs w:val="20"/>
                <w:lang w:val="en-GB" w:eastAsia="zh-CN"/>
              </w:rPr>
              <w:t>Description</w:t>
            </w:r>
          </w:p>
        </w:tc>
        <w:tc>
          <w:tcPr>
            <w:tcW w:w="7156" w:type="dxa"/>
            <w:tcBorders>
              <w:top w:val="nil"/>
              <w:bottom w:val="single" w:sz="4" w:space="0" w:color="auto"/>
            </w:tcBorders>
            <w:shd w:val="clear" w:color="auto" w:fill="auto"/>
          </w:tcPr>
          <w:p w14:paraId="312EF6E1" w14:textId="14F1BB15" w:rsidR="00017F0B" w:rsidRPr="000860E3" w:rsidRDefault="006A5CCC" w:rsidP="00DE334B">
            <w:pPr>
              <w:jc w:val="both"/>
              <w:rPr>
                <w:rFonts w:ascii="Arial" w:hAnsi="Arial" w:cs="Arial"/>
                <w:sz w:val="20"/>
                <w:szCs w:val="20"/>
                <w:lang w:val="en-GB" w:eastAsia="zh-CN"/>
              </w:rPr>
            </w:pPr>
            <w:r w:rsidRPr="000860E3">
              <w:rPr>
                <w:rFonts w:ascii="Arial" w:hAnsi="Arial" w:cs="Arial"/>
                <w:sz w:val="20"/>
                <w:szCs w:val="20"/>
                <w:lang w:val="en-GB" w:eastAsia="zh-CN"/>
              </w:rPr>
              <w:t xml:space="preserve">Context-setter </w:t>
            </w:r>
            <w:r w:rsidR="00501940" w:rsidRPr="000860E3">
              <w:rPr>
                <w:rFonts w:ascii="Arial" w:hAnsi="Arial" w:cs="Arial"/>
                <w:sz w:val="20"/>
                <w:szCs w:val="20"/>
                <w:lang w:val="en-GB" w:eastAsia="zh-CN"/>
              </w:rPr>
              <w:t xml:space="preserve">and report </w:t>
            </w:r>
            <w:r w:rsidRPr="000860E3">
              <w:rPr>
                <w:rFonts w:ascii="Arial" w:hAnsi="Arial" w:cs="Arial"/>
                <w:sz w:val="20"/>
                <w:szCs w:val="20"/>
                <w:lang w:val="en-GB" w:eastAsia="zh-CN"/>
              </w:rPr>
              <w:t xml:space="preserve">for </w:t>
            </w:r>
            <w:r w:rsidR="00501940" w:rsidRPr="000860E3">
              <w:rPr>
                <w:rFonts w:ascii="Arial" w:hAnsi="Arial" w:cs="Arial"/>
                <w:sz w:val="20"/>
                <w:szCs w:val="20"/>
                <w:lang w:val="en-GB" w:eastAsia="zh-CN"/>
              </w:rPr>
              <w:t xml:space="preserve">the </w:t>
            </w:r>
            <w:r w:rsidRPr="000860E3">
              <w:rPr>
                <w:rFonts w:ascii="Arial" w:hAnsi="Arial" w:cs="Arial"/>
                <w:sz w:val="20"/>
                <w:szCs w:val="20"/>
                <w:lang w:val="en-GB" w:eastAsia="zh-CN"/>
              </w:rPr>
              <w:t>MIG mini-workshop on harmonised and non-harmonised data sets in INSPIRE.</w:t>
            </w:r>
          </w:p>
        </w:tc>
      </w:tr>
      <w:tr w:rsidR="00C102C6" w:rsidRPr="000860E3" w14:paraId="1171BB4B" w14:textId="77777777" w:rsidTr="004D282E">
        <w:trPr>
          <w:trHeight w:val="60"/>
        </w:trPr>
        <w:tc>
          <w:tcPr>
            <w:tcW w:w="2055" w:type="dxa"/>
            <w:tcBorders>
              <w:top w:val="single" w:sz="4" w:space="0" w:color="auto"/>
              <w:bottom w:val="single" w:sz="4" w:space="0" w:color="auto"/>
            </w:tcBorders>
            <w:shd w:val="clear" w:color="auto" w:fill="auto"/>
          </w:tcPr>
          <w:p w14:paraId="390DC70F" w14:textId="77777777" w:rsidR="00C102C6" w:rsidRPr="000860E3" w:rsidRDefault="00C102C6" w:rsidP="002C65C8">
            <w:pPr>
              <w:overflowPunct w:val="0"/>
              <w:autoSpaceDE w:val="0"/>
              <w:spacing w:before="120" w:after="120" w:line="240" w:lineRule="auto"/>
              <w:jc w:val="both"/>
              <w:rPr>
                <w:rFonts w:ascii="Arial" w:hAnsi="Arial" w:cs="Arial"/>
                <w:b/>
                <w:sz w:val="20"/>
                <w:szCs w:val="20"/>
                <w:lang w:val="en-GB" w:eastAsia="zh-CN"/>
              </w:rPr>
            </w:pPr>
            <w:r w:rsidRPr="000860E3">
              <w:rPr>
                <w:rFonts w:ascii="Arial" w:hAnsi="Arial" w:cs="Arial"/>
                <w:b/>
                <w:sz w:val="20"/>
                <w:szCs w:val="20"/>
                <w:lang w:val="en-GB" w:eastAsia="zh-CN"/>
              </w:rPr>
              <w:t>Requested actions:</w:t>
            </w:r>
          </w:p>
        </w:tc>
        <w:tc>
          <w:tcPr>
            <w:tcW w:w="7156" w:type="dxa"/>
            <w:tcBorders>
              <w:top w:val="single" w:sz="4" w:space="0" w:color="auto"/>
              <w:bottom w:val="single" w:sz="4" w:space="0" w:color="auto"/>
            </w:tcBorders>
            <w:shd w:val="clear" w:color="auto" w:fill="auto"/>
          </w:tcPr>
          <w:p w14:paraId="609A5274" w14:textId="274DC067" w:rsidR="00C102C6" w:rsidRPr="000860E3" w:rsidRDefault="00C102C6" w:rsidP="002C65C8">
            <w:pPr>
              <w:overflowPunct w:val="0"/>
              <w:autoSpaceDE w:val="0"/>
              <w:spacing w:before="120" w:after="120" w:line="240" w:lineRule="auto"/>
              <w:jc w:val="both"/>
              <w:rPr>
                <w:rFonts w:ascii="Arial" w:hAnsi="Arial" w:cs="Arial"/>
                <w:sz w:val="20"/>
                <w:szCs w:val="20"/>
                <w:lang w:val="en-GB" w:eastAsia="zh-CN"/>
              </w:rPr>
            </w:pPr>
            <w:r w:rsidRPr="000860E3">
              <w:rPr>
                <w:rFonts w:ascii="Arial" w:hAnsi="Arial" w:cs="Arial"/>
                <w:sz w:val="20"/>
                <w:szCs w:val="20"/>
                <w:lang w:val="en-GB" w:eastAsia="zh-CN"/>
              </w:rPr>
              <w:t xml:space="preserve">The members of the </w:t>
            </w:r>
            <w:r w:rsidR="00017F0B" w:rsidRPr="000860E3">
              <w:rPr>
                <w:rFonts w:ascii="Arial" w:hAnsi="Arial" w:cs="Arial"/>
                <w:sz w:val="20"/>
                <w:szCs w:val="20"/>
                <w:lang w:val="en-GB" w:eastAsia="zh-CN"/>
              </w:rPr>
              <w:t>MIG</w:t>
            </w:r>
            <w:r w:rsidRPr="000860E3">
              <w:rPr>
                <w:rFonts w:ascii="Arial" w:hAnsi="Arial" w:cs="Arial"/>
                <w:sz w:val="20"/>
                <w:szCs w:val="20"/>
                <w:lang w:val="en-GB" w:eastAsia="zh-CN"/>
              </w:rPr>
              <w:t xml:space="preserve"> are invited to: </w:t>
            </w:r>
          </w:p>
          <w:p w14:paraId="679670C9" w14:textId="40FD0F33" w:rsidR="00E92F81" w:rsidRPr="000860E3" w:rsidRDefault="00C102C6" w:rsidP="00501940">
            <w:pPr>
              <w:pStyle w:val="ListParagraph"/>
              <w:numPr>
                <w:ilvl w:val="0"/>
                <w:numId w:val="2"/>
              </w:numPr>
              <w:suppressAutoHyphens/>
              <w:overflowPunct w:val="0"/>
              <w:autoSpaceDE w:val="0"/>
              <w:spacing w:before="120" w:after="120" w:line="240" w:lineRule="auto"/>
              <w:jc w:val="both"/>
              <w:textAlignment w:val="baseline"/>
              <w:rPr>
                <w:rFonts w:ascii="Arial" w:hAnsi="Arial" w:cs="Arial"/>
                <w:sz w:val="20"/>
                <w:szCs w:val="20"/>
                <w:lang w:val="en-GB" w:eastAsia="zh-CN"/>
              </w:rPr>
            </w:pPr>
            <w:r w:rsidRPr="000860E3">
              <w:rPr>
                <w:rFonts w:ascii="Arial" w:hAnsi="Arial" w:cs="Arial"/>
                <w:sz w:val="20"/>
                <w:szCs w:val="20"/>
                <w:lang w:val="en-GB" w:eastAsia="zh-CN"/>
              </w:rPr>
              <w:t>Take note of the documen</w:t>
            </w:r>
            <w:r w:rsidR="00501940" w:rsidRPr="000860E3">
              <w:rPr>
                <w:rFonts w:ascii="Arial" w:hAnsi="Arial" w:cs="Arial"/>
                <w:sz w:val="20"/>
                <w:szCs w:val="20"/>
                <w:lang w:val="en-GB" w:eastAsia="zh-CN"/>
              </w:rPr>
              <w:t>t and share any feedback by 3 September 2021 close of day</w:t>
            </w:r>
          </w:p>
        </w:tc>
      </w:tr>
      <w:tr w:rsidR="004D282E" w:rsidRPr="000860E3" w14:paraId="56057CC0" w14:textId="77777777" w:rsidTr="004D282E">
        <w:trPr>
          <w:trHeight w:val="60"/>
        </w:trPr>
        <w:tc>
          <w:tcPr>
            <w:tcW w:w="2055" w:type="dxa"/>
            <w:tcBorders>
              <w:top w:val="single" w:sz="4" w:space="0" w:color="auto"/>
              <w:bottom w:val="nil"/>
            </w:tcBorders>
            <w:shd w:val="clear" w:color="auto" w:fill="auto"/>
          </w:tcPr>
          <w:p w14:paraId="08F4ADD4" w14:textId="6E0ADA9B" w:rsidR="004D282E" w:rsidRPr="000860E3" w:rsidRDefault="004D282E" w:rsidP="002C65C8">
            <w:pPr>
              <w:overflowPunct w:val="0"/>
              <w:autoSpaceDE w:val="0"/>
              <w:spacing w:before="120" w:after="120" w:line="240" w:lineRule="auto"/>
              <w:jc w:val="both"/>
              <w:rPr>
                <w:rFonts w:ascii="Arial" w:hAnsi="Arial" w:cs="Arial"/>
                <w:b/>
                <w:sz w:val="20"/>
                <w:szCs w:val="20"/>
                <w:lang w:val="en-GB" w:eastAsia="zh-CN"/>
              </w:rPr>
            </w:pPr>
          </w:p>
        </w:tc>
        <w:tc>
          <w:tcPr>
            <w:tcW w:w="7156" w:type="dxa"/>
            <w:tcBorders>
              <w:top w:val="single" w:sz="4" w:space="0" w:color="auto"/>
              <w:bottom w:val="nil"/>
            </w:tcBorders>
            <w:shd w:val="clear" w:color="auto" w:fill="auto"/>
          </w:tcPr>
          <w:p w14:paraId="2DBD662C" w14:textId="77777777" w:rsidR="004D282E" w:rsidRPr="000860E3" w:rsidRDefault="004D282E" w:rsidP="002C65C8">
            <w:pPr>
              <w:overflowPunct w:val="0"/>
              <w:autoSpaceDE w:val="0"/>
              <w:spacing w:before="120" w:after="120" w:line="240" w:lineRule="auto"/>
              <w:jc w:val="both"/>
              <w:rPr>
                <w:rFonts w:ascii="Arial" w:hAnsi="Arial" w:cs="Arial"/>
                <w:sz w:val="20"/>
                <w:szCs w:val="20"/>
                <w:lang w:val="en-GB" w:eastAsia="zh-CN"/>
              </w:rPr>
            </w:pPr>
          </w:p>
        </w:tc>
      </w:tr>
    </w:tbl>
    <w:p w14:paraId="41310460" w14:textId="10985F52" w:rsidR="006132D5" w:rsidRPr="000860E3" w:rsidRDefault="006132D5" w:rsidP="006132D5">
      <w:pPr>
        <w:pBdr>
          <w:top w:val="single" w:sz="4" w:space="1" w:color="auto"/>
          <w:left w:val="single" w:sz="4" w:space="4" w:color="auto"/>
          <w:bottom w:val="single" w:sz="4" w:space="1" w:color="auto"/>
          <w:right w:val="single" w:sz="4" w:space="4" w:color="auto"/>
        </w:pBdr>
        <w:jc w:val="both"/>
        <w:rPr>
          <w:rFonts w:cstheme="minorHAnsi"/>
          <w:i/>
          <w:sz w:val="24"/>
          <w:szCs w:val="24"/>
          <w:lang w:val="en-GB" w:eastAsia="zh-CN"/>
        </w:rPr>
      </w:pPr>
      <w:r w:rsidRPr="000860E3">
        <w:rPr>
          <w:rFonts w:cstheme="minorHAnsi"/>
          <w:i/>
          <w:sz w:val="24"/>
          <w:szCs w:val="24"/>
          <w:lang w:val="en-GB"/>
        </w:rPr>
        <w:t xml:space="preserve">Note: This document </w:t>
      </w:r>
      <w:r w:rsidRPr="000860E3">
        <w:rPr>
          <w:rFonts w:cstheme="minorHAnsi"/>
          <w:i/>
          <w:sz w:val="24"/>
          <w:szCs w:val="24"/>
          <w:lang w:val="en-GB" w:eastAsia="zh-CN"/>
        </w:rPr>
        <w:t>does not necessarily represent the official, formal position of any of the partners. To the extent that the European Commission's services provided input to this technical document, such input does not necessarily reflect the views of the European Commission and its services or the European Environment Agency. This document is, in parts, intended to facilitate the implementation of Directive 2007/2/EC and is not legally binding. Any authoritative reading of the law should only be derived from Directive 2007/2/EC itself and other applicable legal texts or principles such as the related Implementing Rules. Only the Court of Justice of the European Union is competent to authoritatively interpret Union legislation.</w:t>
      </w:r>
    </w:p>
    <w:p w14:paraId="77DF53E7" w14:textId="60BB407C" w:rsidR="00667F00" w:rsidRPr="000860E3" w:rsidRDefault="00667F00">
      <w:pPr>
        <w:spacing w:before="0"/>
        <w:rPr>
          <w:sz w:val="44"/>
          <w:lang w:val="en-GB"/>
        </w:rPr>
      </w:pPr>
      <w:r w:rsidRPr="000860E3">
        <w:rPr>
          <w:sz w:val="44"/>
          <w:lang w:val="en-GB"/>
        </w:rPr>
        <w:br w:type="page"/>
      </w:r>
    </w:p>
    <w:sdt>
      <w:sdtPr>
        <w:rPr>
          <w:rFonts w:asciiTheme="minorHAnsi" w:eastAsiaTheme="minorHAnsi" w:hAnsiTheme="minorHAnsi" w:cstheme="minorBidi"/>
          <w:b w:val="0"/>
          <w:bCs w:val="0"/>
          <w:color w:val="auto"/>
          <w:sz w:val="22"/>
          <w:szCs w:val="22"/>
          <w:lang w:val="en-GB" w:eastAsia="en-US"/>
        </w:rPr>
        <w:id w:val="256946657"/>
        <w:docPartObj>
          <w:docPartGallery w:val="Table of Contents"/>
          <w:docPartUnique/>
        </w:docPartObj>
      </w:sdtPr>
      <w:sdtEndPr>
        <w:rPr>
          <w:noProof/>
        </w:rPr>
      </w:sdtEndPr>
      <w:sdtContent>
        <w:p w14:paraId="159FDD5F" w14:textId="6CE0D068" w:rsidR="00667F00" w:rsidRPr="000860E3" w:rsidRDefault="00667F00">
          <w:pPr>
            <w:pStyle w:val="TOCHeading"/>
            <w:rPr>
              <w:lang w:val="en-GB"/>
            </w:rPr>
          </w:pPr>
          <w:r w:rsidRPr="000860E3">
            <w:rPr>
              <w:lang w:val="en-GB"/>
            </w:rPr>
            <w:t>Contents</w:t>
          </w:r>
        </w:p>
        <w:p w14:paraId="3A899D65" w14:textId="605128A8" w:rsidR="00095EA1" w:rsidRDefault="00667F00">
          <w:pPr>
            <w:pStyle w:val="TOC1"/>
            <w:tabs>
              <w:tab w:val="left" w:pos="440"/>
              <w:tab w:val="right" w:leader="dot" w:pos="9017"/>
            </w:tabs>
            <w:rPr>
              <w:rFonts w:eastAsiaTheme="minorEastAsia"/>
              <w:noProof/>
              <w:lang w:val="en-GB" w:eastAsia="en-GB"/>
            </w:rPr>
          </w:pPr>
          <w:r w:rsidRPr="000860E3">
            <w:rPr>
              <w:lang w:val="en-GB"/>
            </w:rPr>
            <w:fldChar w:fldCharType="begin"/>
          </w:r>
          <w:r w:rsidRPr="000860E3">
            <w:rPr>
              <w:lang w:val="en-GB"/>
            </w:rPr>
            <w:instrText xml:space="preserve"> TOC \o "1-3" \h \z \u </w:instrText>
          </w:r>
          <w:r w:rsidRPr="000860E3">
            <w:rPr>
              <w:lang w:val="en-GB"/>
            </w:rPr>
            <w:fldChar w:fldCharType="separate"/>
          </w:r>
          <w:hyperlink w:anchor="_Toc77000111" w:history="1">
            <w:r w:rsidR="00095EA1" w:rsidRPr="00DF4379">
              <w:rPr>
                <w:rStyle w:val="Hyperlink"/>
                <w:noProof/>
                <w:lang w:val="en-GB"/>
              </w:rPr>
              <w:t>1</w:t>
            </w:r>
            <w:r w:rsidR="00095EA1">
              <w:rPr>
                <w:rFonts w:eastAsiaTheme="minorEastAsia"/>
                <w:noProof/>
                <w:lang w:val="en-GB" w:eastAsia="en-GB"/>
              </w:rPr>
              <w:tab/>
            </w:r>
            <w:r w:rsidR="00095EA1" w:rsidRPr="00DF4379">
              <w:rPr>
                <w:rStyle w:val="Hyperlink"/>
                <w:noProof/>
                <w:lang w:val="en-GB"/>
              </w:rPr>
              <w:t>Context</w:t>
            </w:r>
            <w:r w:rsidR="00095EA1">
              <w:rPr>
                <w:noProof/>
                <w:webHidden/>
              </w:rPr>
              <w:tab/>
            </w:r>
            <w:r w:rsidR="00095EA1">
              <w:rPr>
                <w:noProof/>
                <w:webHidden/>
              </w:rPr>
              <w:fldChar w:fldCharType="begin"/>
            </w:r>
            <w:r w:rsidR="00095EA1">
              <w:rPr>
                <w:noProof/>
                <w:webHidden/>
              </w:rPr>
              <w:instrText xml:space="preserve"> PAGEREF _Toc77000111 \h </w:instrText>
            </w:r>
            <w:r w:rsidR="00095EA1">
              <w:rPr>
                <w:noProof/>
                <w:webHidden/>
              </w:rPr>
            </w:r>
            <w:r w:rsidR="00095EA1">
              <w:rPr>
                <w:noProof/>
                <w:webHidden/>
              </w:rPr>
              <w:fldChar w:fldCharType="separate"/>
            </w:r>
            <w:r w:rsidR="00095EA1">
              <w:rPr>
                <w:noProof/>
                <w:webHidden/>
              </w:rPr>
              <w:t>3</w:t>
            </w:r>
            <w:r w:rsidR="00095EA1">
              <w:rPr>
                <w:noProof/>
                <w:webHidden/>
              </w:rPr>
              <w:fldChar w:fldCharType="end"/>
            </w:r>
          </w:hyperlink>
        </w:p>
        <w:p w14:paraId="4C6802FC" w14:textId="6E73D627" w:rsidR="00095EA1" w:rsidRDefault="000D6366">
          <w:pPr>
            <w:pStyle w:val="TOC1"/>
            <w:tabs>
              <w:tab w:val="left" w:pos="440"/>
              <w:tab w:val="right" w:leader="dot" w:pos="9017"/>
            </w:tabs>
            <w:rPr>
              <w:rFonts w:eastAsiaTheme="minorEastAsia"/>
              <w:noProof/>
              <w:lang w:val="en-GB" w:eastAsia="en-GB"/>
            </w:rPr>
          </w:pPr>
          <w:hyperlink w:anchor="_Toc77000112" w:history="1">
            <w:r w:rsidR="00095EA1" w:rsidRPr="00DF4379">
              <w:rPr>
                <w:rStyle w:val="Hyperlink"/>
                <w:noProof/>
                <w:lang w:val="en-GB"/>
              </w:rPr>
              <w:t>2</w:t>
            </w:r>
            <w:r w:rsidR="00095EA1">
              <w:rPr>
                <w:rFonts w:eastAsiaTheme="minorEastAsia"/>
                <w:noProof/>
                <w:lang w:val="en-GB" w:eastAsia="en-GB"/>
              </w:rPr>
              <w:tab/>
            </w:r>
            <w:r w:rsidR="00095EA1" w:rsidRPr="00DF4379">
              <w:rPr>
                <w:rStyle w:val="Hyperlink"/>
                <w:noProof/>
                <w:lang w:val="en-GB"/>
              </w:rPr>
              <w:t>Problem statement</w:t>
            </w:r>
            <w:r w:rsidR="00095EA1">
              <w:rPr>
                <w:noProof/>
                <w:webHidden/>
              </w:rPr>
              <w:tab/>
            </w:r>
            <w:r w:rsidR="00095EA1">
              <w:rPr>
                <w:noProof/>
                <w:webHidden/>
              </w:rPr>
              <w:fldChar w:fldCharType="begin"/>
            </w:r>
            <w:r w:rsidR="00095EA1">
              <w:rPr>
                <w:noProof/>
                <w:webHidden/>
              </w:rPr>
              <w:instrText xml:space="preserve"> PAGEREF _Toc77000112 \h </w:instrText>
            </w:r>
            <w:r w:rsidR="00095EA1">
              <w:rPr>
                <w:noProof/>
                <w:webHidden/>
              </w:rPr>
            </w:r>
            <w:r w:rsidR="00095EA1">
              <w:rPr>
                <w:noProof/>
                <w:webHidden/>
              </w:rPr>
              <w:fldChar w:fldCharType="separate"/>
            </w:r>
            <w:r w:rsidR="00095EA1">
              <w:rPr>
                <w:noProof/>
                <w:webHidden/>
              </w:rPr>
              <w:t>3</w:t>
            </w:r>
            <w:r w:rsidR="00095EA1">
              <w:rPr>
                <w:noProof/>
                <w:webHidden/>
              </w:rPr>
              <w:fldChar w:fldCharType="end"/>
            </w:r>
          </w:hyperlink>
        </w:p>
        <w:p w14:paraId="4D47487A" w14:textId="357AF853" w:rsidR="00095EA1" w:rsidRDefault="000D6366">
          <w:pPr>
            <w:pStyle w:val="TOC1"/>
            <w:tabs>
              <w:tab w:val="left" w:pos="440"/>
              <w:tab w:val="right" w:leader="dot" w:pos="9017"/>
            </w:tabs>
            <w:rPr>
              <w:rFonts w:eastAsiaTheme="minorEastAsia"/>
              <w:noProof/>
              <w:lang w:val="en-GB" w:eastAsia="en-GB"/>
            </w:rPr>
          </w:pPr>
          <w:hyperlink w:anchor="_Toc77000113" w:history="1">
            <w:r w:rsidR="00095EA1" w:rsidRPr="00DF4379">
              <w:rPr>
                <w:rStyle w:val="Hyperlink"/>
                <w:noProof/>
                <w:lang w:val="en-GB"/>
              </w:rPr>
              <w:t>3</w:t>
            </w:r>
            <w:r w:rsidR="00095EA1">
              <w:rPr>
                <w:rFonts w:eastAsiaTheme="minorEastAsia"/>
                <w:noProof/>
                <w:lang w:val="en-GB" w:eastAsia="en-GB"/>
              </w:rPr>
              <w:tab/>
            </w:r>
            <w:r w:rsidR="00095EA1" w:rsidRPr="00DF4379">
              <w:rPr>
                <w:rStyle w:val="Hyperlink"/>
                <w:noProof/>
                <w:lang w:val="en-GB"/>
              </w:rPr>
              <w:t>Objectives of the workshop</w:t>
            </w:r>
            <w:r w:rsidR="00095EA1">
              <w:rPr>
                <w:noProof/>
                <w:webHidden/>
              </w:rPr>
              <w:tab/>
            </w:r>
            <w:r w:rsidR="00095EA1">
              <w:rPr>
                <w:noProof/>
                <w:webHidden/>
              </w:rPr>
              <w:fldChar w:fldCharType="begin"/>
            </w:r>
            <w:r w:rsidR="00095EA1">
              <w:rPr>
                <w:noProof/>
                <w:webHidden/>
              </w:rPr>
              <w:instrText xml:space="preserve"> PAGEREF _Toc77000113 \h </w:instrText>
            </w:r>
            <w:r w:rsidR="00095EA1">
              <w:rPr>
                <w:noProof/>
                <w:webHidden/>
              </w:rPr>
            </w:r>
            <w:r w:rsidR="00095EA1">
              <w:rPr>
                <w:noProof/>
                <w:webHidden/>
              </w:rPr>
              <w:fldChar w:fldCharType="separate"/>
            </w:r>
            <w:r w:rsidR="00095EA1">
              <w:rPr>
                <w:noProof/>
                <w:webHidden/>
              </w:rPr>
              <w:t>4</w:t>
            </w:r>
            <w:r w:rsidR="00095EA1">
              <w:rPr>
                <w:noProof/>
                <w:webHidden/>
              </w:rPr>
              <w:fldChar w:fldCharType="end"/>
            </w:r>
          </w:hyperlink>
        </w:p>
        <w:p w14:paraId="42B43C5F" w14:textId="6235CD3E" w:rsidR="00095EA1" w:rsidRDefault="000D6366">
          <w:pPr>
            <w:pStyle w:val="TOC1"/>
            <w:tabs>
              <w:tab w:val="left" w:pos="440"/>
              <w:tab w:val="right" w:leader="dot" w:pos="9017"/>
            </w:tabs>
            <w:rPr>
              <w:rFonts w:eastAsiaTheme="minorEastAsia"/>
              <w:noProof/>
              <w:lang w:val="en-GB" w:eastAsia="en-GB"/>
            </w:rPr>
          </w:pPr>
          <w:hyperlink w:anchor="_Toc77000114" w:history="1">
            <w:r w:rsidR="00095EA1" w:rsidRPr="00DF4379">
              <w:rPr>
                <w:rStyle w:val="Hyperlink"/>
                <w:noProof/>
                <w:lang w:val="en-GB"/>
              </w:rPr>
              <w:t>4</w:t>
            </w:r>
            <w:r w:rsidR="00095EA1">
              <w:rPr>
                <w:rFonts w:eastAsiaTheme="minorEastAsia"/>
                <w:noProof/>
                <w:lang w:val="en-GB" w:eastAsia="en-GB"/>
              </w:rPr>
              <w:tab/>
            </w:r>
            <w:r w:rsidR="00095EA1" w:rsidRPr="00DF4379">
              <w:rPr>
                <w:rStyle w:val="Hyperlink"/>
                <w:noProof/>
                <w:lang w:val="en-GB"/>
              </w:rPr>
              <w:t>Workshop survey</w:t>
            </w:r>
            <w:r w:rsidR="00095EA1">
              <w:rPr>
                <w:noProof/>
                <w:webHidden/>
              </w:rPr>
              <w:tab/>
            </w:r>
            <w:r w:rsidR="00095EA1">
              <w:rPr>
                <w:noProof/>
                <w:webHidden/>
              </w:rPr>
              <w:fldChar w:fldCharType="begin"/>
            </w:r>
            <w:r w:rsidR="00095EA1">
              <w:rPr>
                <w:noProof/>
                <w:webHidden/>
              </w:rPr>
              <w:instrText xml:space="preserve"> PAGEREF _Toc77000114 \h </w:instrText>
            </w:r>
            <w:r w:rsidR="00095EA1">
              <w:rPr>
                <w:noProof/>
                <w:webHidden/>
              </w:rPr>
            </w:r>
            <w:r w:rsidR="00095EA1">
              <w:rPr>
                <w:noProof/>
                <w:webHidden/>
              </w:rPr>
              <w:fldChar w:fldCharType="separate"/>
            </w:r>
            <w:r w:rsidR="00095EA1">
              <w:rPr>
                <w:noProof/>
                <w:webHidden/>
              </w:rPr>
              <w:t>5</w:t>
            </w:r>
            <w:r w:rsidR="00095EA1">
              <w:rPr>
                <w:noProof/>
                <w:webHidden/>
              </w:rPr>
              <w:fldChar w:fldCharType="end"/>
            </w:r>
          </w:hyperlink>
        </w:p>
        <w:p w14:paraId="177CF05D" w14:textId="4AD5A59A" w:rsidR="00095EA1" w:rsidRDefault="000D6366">
          <w:pPr>
            <w:pStyle w:val="TOC1"/>
            <w:tabs>
              <w:tab w:val="left" w:pos="440"/>
              <w:tab w:val="right" w:leader="dot" w:pos="9017"/>
            </w:tabs>
            <w:rPr>
              <w:rFonts w:eastAsiaTheme="minorEastAsia"/>
              <w:noProof/>
              <w:lang w:val="en-GB" w:eastAsia="en-GB"/>
            </w:rPr>
          </w:pPr>
          <w:hyperlink w:anchor="_Toc77000115" w:history="1">
            <w:r w:rsidR="00095EA1" w:rsidRPr="00DF4379">
              <w:rPr>
                <w:rStyle w:val="Hyperlink"/>
                <w:noProof/>
                <w:lang w:val="en-GB"/>
              </w:rPr>
              <w:t>5</w:t>
            </w:r>
            <w:r w:rsidR="00095EA1">
              <w:rPr>
                <w:rFonts w:eastAsiaTheme="minorEastAsia"/>
                <w:noProof/>
                <w:lang w:val="en-GB" w:eastAsia="en-GB"/>
              </w:rPr>
              <w:tab/>
            </w:r>
            <w:r w:rsidR="00095EA1" w:rsidRPr="00DF4379">
              <w:rPr>
                <w:rStyle w:val="Hyperlink"/>
                <w:noProof/>
                <w:lang w:val="en-GB"/>
              </w:rPr>
              <w:t>Workshop organisation (75’)</w:t>
            </w:r>
            <w:r w:rsidR="00095EA1">
              <w:rPr>
                <w:noProof/>
                <w:webHidden/>
              </w:rPr>
              <w:tab/>
            </w:r>
            <w:r w:rsidR="00095EA1">
              <w:rPr>
                <w:noProof/>
                <w:webHidden/>
              </w:rPr>
              <w:fldChar w:fldCharType="begin"/>
            </w:r>
            <w:r w:rsidR="00095EA1">
              <w:rPr>
                <w:noProof/>
                <w:webHidden/>
              </w:rPr>
              <w:instrText xml:space="preserve"> PAGEREF _Toc77000115 \h </w:instrText>
            </w:r>
            <w:r w:rsidR="00095EA1">
              <w:rPr>
                <w:noProof/>
                <w:webHidden/>
              </w:rPr>
            </w:r>
            <w:r w:rsidR="00095EA1">
              <w:rPr>
                <w:noProof/>
                <w:webHidden/>
              </w:rPr>
              <w:fldChar w:fldCharType="separate"/>
            </w:r>
            <w:r w:rsidR="00095EA1">
              <w:rPr>
                <w:noProof/>
                <w:webHidden/>
              </w:rPr>
              <w:t>5</w:t>
            </w:r>
            <w:r w:rsidR="00095EA1">
              <w:rPr>
                <w:noProof/>
                <w:webHidden/>
              </w:rPr>
              <w:fldChar w:fldCharType="end"/>
            </w:r>
          </w:hyperlink>
        </w:p>
        <w:p w14:paraId="2F1DF02F" w14:textId="2774AEA6" w:rsidR="00095EA1" w:rsidRDefault="000D6366">
          <w:pPr>
            <w:pStyle w:val="TOC1"/>
            <w:tabs>
              <w:tab w:val="left" w:pos="440"/>
              <w:tab w:val="right" w:leader="dot" w:pos="9017"/>
            </w:tabs>
            <w:rPr>
              <w:rFonts w:eastAsiaTheme="minorEastAsia"/>
              <w:noProof/>
              <w:lang w:val="en-GB" w:eastAsia="en-GB"/>
            </w:rPr>
          </w:pPr>
          <w:hyperlink w:anchor="_Toc77000116" w:history="1">
            <w:r w:rsidR="00095EA1" w:rsidRPr="00DF4379">
              <w:rPr>
                <w:rStyle w:val="Hyperlink"/>
                <w:noProof/>
                <w:lang w:val="en-GB"/>
              </w:rPr>
              <w:t>6</w:t>
            </w:r>
            <w:r w:rsidR="00095EA1">
              <w:rPr>
                <w:rFonts w:eastAsiaTheme="minorEastAsia"/>
                <w:noProof/>
                <w:lang w:val="en-GB" w:eastAsia="en-GB"/>
              </w:rPr>
              <w:tab/>
            </w:r>
            <w:r w:rsidR="00095EA1" w:rsidRPr="00DF4379">
              <w:rPr>
                <w:rStyle w:val="Hyperlink"/>
                <w:noProof/>
                <w:lang w:val="en-GB"/>
              </w:rPr>
              <w:t>Workshop proceedings</w:t>
            </w:r>
            <w:r w:rsidR="00095EA1">
              <w:rPr>
                <w:noProof/>
                <w:webHidden/>
              </w:rPr>
              <w:tab/>
            </w:r>
            <w:r w:rsidR="00095EA1">
              <w:rPr>
                <w:noProof/>
                <w:webHidden/>
              </w:rPr>
              <w:fldChar w:fldCharType="begin"/>
            </w:r>
            <w:r w:rsidR="00095EA1">
              <w:rPr>
                <w:noProof/>
                <w:webHidden/>
              </w:rPr>
              <w:instrText xml:space="preserve"> PAGEREF _Toc77000116 \h </w:instrText>
            </w:r>
            <w:r w:rsidR="00095EA1">
              <w:rPr>
                <w:noProof/>
                <w:webHidden/>
              </w:rPr>
            </w:r>
            <w:r w:rsidR="00095EA1">
              <w:rPr>
                <w:noProof/>
                <w:webHidden/>
              </w:rPr>
              <w:fldChar w:fldCharType="separate"/>
            </w:r>
            <w:r w:rsidR="00095EA1">
              <w:rPr>
                <w:noProof/>
                <w:webHidden/>
              </w:rPr>
              <w:t>6</w:t>
            </w:r>
            <w:r w:rsidR="00095EA1">
              <w:rPr>
                <w:noProof/>
                <w:webHidden/>
              </w:rPr>
              <w:fldChar w:fldCharType="end"/>
            </w:r>
          </w:hyperlink>
        </w:p>
        <w:p w14:paraId="2A941118" w14:textId="6BC8671C" w:rsidR="00095EA1" w:rsidRDefault="000D6366">
          <w:pPr>
            <w:pStyle w:val="TOC2"/>
            <w:tabs>
              <w:tab w:val="left" w:pos="880"/>
              <w:tab w:val="right" w:leader="dot" w:pos="9017"/>
            </w:tabs>
            <w:rPr>
              <w:rFonts w:eastAsiaTheme="minorEastAsia"/>
              <w:noProof/>
              <w:lang w:val="en-GB" w:eastAsia="en-GB"/>
            </w:rPr>
          </w:pPr>
          <w:hyperlink w:anchor="_Toc77000117" w:history="1">
            <w:r w:rsidR="00095EA1" w:rsidRPr="00DF4379">
              <w:rPr>
                <w:rStyle w:val="Hyperlink"/>
                <w:noProof/>
                <w:lang w:val="en-GB"/>
              </w:rPr>
              <w:t>6.1</w:t>
            </w:r>
            <w:r w:rsidR="00095EA1">
              <w:rPr>
                <w:rFonts w:eastAsiaTheme="minorEastAsia"/>
                <w:noProof/>
                <w:lang w:val="en-GB" w:eastAsia="en-GB"/>
              </w:rPr>
              <w:tab/>
            </w:r>
            <w:r w:rsidR="00095EA1" w:rsidRPr="00DF4379">
              <w:rPr>
                <w:rStyle w:val="Hyperlink"/>
                <w:noProof/>
                <w:lang w:val="en-GB"/>
              </w:rPr>
              <w:t>Survey Results</w:t>
            </w:r>
            <w:r w:rsidR="00095EA1">
              <w:rPr>
                <w:noProof/>
                <w:webHidden/>
              </w:rPr>
              <w:tab/>
            </w:r>
            <w:r w:rsidR="00095EA1">
              <w:rPr>
                <w:noProof/>
                <w:webHidden/>
              </w:rPr>
              <w:fldChar w:fldCharType="begin"/>
            </w:r>
            <w:r w:rsidR="00095EA1">
              <w:rPr>
                <w:noProof/>
                <w:webHidden/>
              </w:rPr>
              <w:instrText xml:space="preserve"> PAGEREF _Toc77000117 \h </w:instrText>
            </w:r>
            <w:r w:rsidR="00095EA1">
              <w:rPr>
                <w:noProof/>
                <w:webHidden/>
              </w:rPr>
            </w:r>
            <w:r w:rsidR="00095EA1">
              <w:rPr>
                <w:noProof/>
                <w:webHidden/>
              </w:rPr>
              <w:fldChar w:fldCharType="separate"/>
            </w:r>
            <w:r w:rsidR="00095EA1">
              <w:rPr>
                <w:noProof/>
                <w:webHidden/>
              </w:rPr>
              <w:t>6</w:t>
            </w:r>
            <w:r w:rsidR="00095EA1">
              <w:rPr>
                <w:noProof/>
                <w:webHidden/>
              </w:rPr>
              <w:fldChar w:fldCharType="end"/>
            </w:r>
          </w:hyperlink>
        </w:p>
        <w:p w14:paraId="0D608D47" w14:textId="7257E122" w:rsidR="00095EA1" w:rsidRDefault="000D6366">
          <w:pPr>
            <w:pStyle w:val="TOC2"/>
            <w:tabs>
              <w:tab w:val="left" w:pos="880"/>
              <w:tab w:val="right" w:leader="dot" w:pos="9017"/>
            </w:tabs>
            <w:rPr>
              <w:rFonts w:eastAsiaTheme="minorEastAsia"/>
              <w:noProof/>
              <w:lang w:val="en-GB" w:eastAsia="en-GB"/>
            </w:rPr>
          </w:pPr>
          <w:hyperlink w:anchor="_Toc77000118" w:history="1">
            <w:r w:rsidR="00095EA1" w:rsidRPr="00DF4379">
              <w:rPr>
                <w:rStyle w:val="Hyperlink"/>
                <w:noProof/>
                <w:lang w:val="en-GB"/>
              </w:rPr>
              <w:t>6.2</w:t>
            </w:r>
            <w:r w:rsidR="00095EA1">
              <w:rPr>
                <w:rFonts w:eastAsiaTheme="minorEastAsia"/>
                <w:noProof/>
                <w:lang w:val="en-GB" w:eastAsia="en-GB"/>
              </w:rPr>
              <w:tab/>
            </w:r>
            <w:r w:rsidR="00095EA1" w:rsidRPr="00DF4379">
              <w:rPr>
                <w:rStyle w:val="Hyperlink"/>
                <w:noProof/>
                <w:lang w:val="en-GB"/>
              </w:rPr>
              <w:t>Survey conclusions</w:t>
            </w:r>
            <w:r w:rsidR="00095EA1">
              <w:rPr>
                <w:noProof/>
                <w:webHidden/>
              </w:rPr>
              <w:tab/>
            </w:r>
            <w:r w:rsidR="00095EA1">
              <w:rPr>
                <w:noProof/>
                <w:webHidden/>
              </w:rPr>
              <w:fldChar w:fldCharType="begin"/>
            </w:r>
            <w:r w:rsidR="00095EA1">
              <w:rPr>
                <w:noProof/>
                <w:webHidden/>
              </w:rPr>
              <w:instrText xml:space="preserve"> PAGEREF _Toc77000118 \h </w:instrText>
            </w:r>
            <w:r w:rsidR="00095EA1">
              <w:rPr>
                <w:noProof/>
                <w:webHidden/>
              </w:rPr>
            </w:r>
            <w:r w:rsidR="00095EA1">
              <w:rPr>
                <w:noProof/>
                <w:webHidden/>
              </w:rPr>
              <w:fldChar w:fldCharType="separate"/>
            </w:r>
            <w:r w:rsidR="00095EA1">
              <w:rPr>
                <w:noProof/>
                <w:webHidden/>
              </w:rPr>
              <w:t>9</w:t>
            </w:r>
            <w:r w:rsidR="00095EA1">
              <w:rPr>
                <w:noProof/>
                <w:webHidden/>
              </w:rPr>
              <w:fldChar w:fldCharType="end"/>
            </w:r>
          </w:hyperlink>
        </w:p>
        <w:p w14:paraId="4C18A22D" w14:textId="058AA2A0" w:rsidR="00095EA1" w:rsidRDefault="000D6366">
          <w:pPr>
            <w:pStyle w:val="TOC2"/>
            <w:tabs>
              <w:tab w:val="left" w:pos="880"/>
              <w:tab w:val="right" w:leader="dot" w:pos="9017"/>
            </w:tabs>
            <w:rPr>
              <w:rFonts w:eastAsiaTheme="minorEastAsia"/>
              <w:noProof/>
              <w:lang w:val="en-GB" w:eastAsia="en-GB"/>
            </w:rPr>
          </w:pPr>
          <w:hyperlink w:anchor="_Toc77000119" w:history="1">
            <w:r w:rsidR="00095EA1" w:rsidRPr="00DF4379">
              <w:rPr>
                <w:rStyle w:val="Hyperlink"/>
                <w:noProof/>
                <w:lang w:val="en-GB"/>
              </w:rPr>
              <w:t>6.3</w:t>
            </w:r>
            <w:r w:rsidR="00095EA1">
              <w:rPr>
                <w:rFonts w:eastAsiaTheme="minorEastAsia"/>
                <w:noProof/>
                <w:lang w:val="en-GB" w:eastAsia="en-GB"/>
              </w:rPr>
              <w:tab/>
            </w:r>
            <w:r w:rsidR="00095EA1" w:rsidRPr="00DF4379">
              <w:rPr>
                <w:rStyle w:val="Hyperlink"/>
                <w:noProof/>
                <w:lang w:val="en-GB"/>
              </w:rPr>
              <w:t>Break-out groups</w:t>
            </w:r>
            <w:r w:rsidR="00095EA1">
              <w:rPr>
                <w:noProof/>
                <w:webHidden/>
              </w:rPr>
              <w:tab/>
            </w:r>
            <w:r w:rsidR="00095EA1">
              <w:rPr>
                <w:noProof/>
                <w:webHidden/>
              </w:rPr>
              <w:fldChar w:fldCharType="begin"/>
            </w:r>
            <w:r w:rsidR="00095EA1">
              <w:rPr>
                <w:noProof/>
                <w:webHidden/>
              </w:rPr>
              <w:instrText xml:space="preserve"> PAGEREF _Toc77000119 \h </w:instrText>
            </w:r>
            <w:r w:rsidR="00095EA1">
              <w:rPr>
                <w:noProof/>
                <w:webHidden/>
              </w:rPr>
            </w:r>
            <w:r w:rsidR="00095EA1">
              <w:rPr>
                <w:noProof/>
                <w:webHidden/>
              </w:rPr>
              <w:fldChar w:fldCharType="separate"/>
            </w:r>
            <w:r w:rsidR="00095EA1">
              <w:rPr>
                <w:noProof/>
                <w:webHidden/>
              </w:rPr>
              <w:t>10</w:t>
            </w:r>
            <w:r w:rsidR="00095EA1">
              <w:rPr>
                <w:noProof/>
                <w:webHidden/>
              </w:rPr>
              <w:fldChar w:fldCharType="end"/>
            </w:r>
          </w:hyperlink>
        </w:p>
        <w:p w14:paraId="681279D4" w14:textId="0B6115E0" w:rsidR="00095EA1" w:rsidRDefault="000D6366">
          <w:pPr>
            <w:pStyle w:val="TOC1"/>
            <w:tabs>
              <w:tab w:val="left" w:pos="440"/>
              <w:tab w:val="right" w:leader="dot" w:pos="9017"/>
            </w:tabs>
            <w:rPr>
              <w:rFonts w:eastAsiaTheme="minorEastAsia"/>
              <w:noProof/>
              <w:lang w:val="en-GB" w:eastAsia="en-GB"/>
            </w:rPr>
          </w:pPr>
          <w:hyperlink w:anchor="_Toc77000120" w:history="1">
            <w:r w:rsidR="00095EA1" w:rsidRPr="00DF4379">
              <w:rPr>
                <w:rStyle w:val="Hyperlink"/>
                <w:noProof/>
                <w:lang w:val="en-GB"/>
              </w:rPr>
              <w:t>7</w:t>
            </w:r>
            <w:r w:rsidR="00095EA1">
              <w:rPr>
                <w:rFonts w:eastAsiaTheme="minorEastAsia"/>
                <w:noProof/>
                <w:lang w:val="en-GB" w:eastAsia="en-GB"/>
              </w:rPr>
              <w:tab/>
            </w:r>
            <w:r w:rsidR="00095EA1" w:rsidRPr="00DF4379">
              <w:rPr>
                <w:rStyle w:val="Hyperlink"/>
                <w:noProof/>
                <w:lang w:val="en-GB"/>
              </w:rPr>
              <w:t>Main takeaways and next steps</w:t>
            </w:r>
            <w:r w:rsidR="00095EA1">
              <w:rPr>
                <w:noProof/>
                <w:webHidden/>
              </w:rPr>
              <w:tab/>
            </w:r>
            <w:r w:rsidR="00095EA1">
              <w:rPr>
                <w:noProof/>
                <w:webHidden/>
              </w:rPr>
              <w:fldChar w:fldCharType="begin"/>
            </w:r>
            <w:r w:rsidR="00095EA1">
              <w:rPr>
                <w:noProof/>
                <w:webHidden/>
              </w:rPr>
              <w:instrText xml:space="preserve"> PAGEREF _Toc77000120 \h </w:instrText>
            </w:r>
            <w:r w:rsidR="00095EA1">
              <w:rPr>
                <w:noProof/>
                <w:webHidden/>
              </w:rPr>
            </w:r>
            <w:r w:rsidR="00095EA1">
              <w:rPr>
                <w:noProof/>
                <w:webHidden/>
              </w:rPr>
              <w:fldChar w:fldCharType="separate"/>
            </w:r>
            <w:r w:rsidR="00095EA1">
              <w:rPr>
                <w:noProof/>
                <w:webHidden/>
              </w:rPr>
              <w:t>11</w:t>
            </w:r>
            <w:r w:rsidR="00095EA1">
              <w:rPr>
                <w:noProof/>
                <w:webHidden/>
              </w:rPr>
              <w:fldChar w:fldCharType="end"/>
            </w:r>
          </w:hyperlink>
        </w:p>
        <w:p w14:paraId="30FC4547" w14:textId="0E5052EA" w:rsidR="00667F00" w:rsidRPr="000860E3" w:rsidRDefault="00667F00">
          <w:pPr>
            <w:rPr>
              <w:lang w:val="en-GB"/>
            </w:rPr>
          </w:pPr>
          <w:r w:rsidRPr="000860E3">
            <w:rPr>
              <w:b/>
              <w:bCs/>
              <w:noProof/>
              <w:lang w:val="en-GB"/>
            </w:rPr>
            <w:fldChar w:fldCharType="end"/>
          </w:r>
        </w:p>
      </w:sdtContent>
    </w:sdt>
    <w:p w14:paraId="0AA5AEF7" w14:textId="77777777" w:rsidR="00667F00" w:rsidRPr="000860E3" w:rsidRDefault="00667F00">
      <w:pPr>
        <w:spacing w:before="0"/>
        <w:rPr>
          <w:sz w:val="44"/>
          <w:lang w:val="en-GB"/>
        </w:rPr>
      </w:pPr>
    </w:p>
    <w:p w14:paraId="21319D27" w14:textId="77777777" w:rsidR="00667F00" w:rsidRPr="000860E3" w:rsidRDefault="00667F00">
      <w:pPr>
        <w:spacing w:before="0"/>
        <w:rPr>
          <w:sz w:val="44"/>
          <w:lang w:val="en-GB"/>
        </w:rPr>
      </w:pPr>
    </w:p>
    <w:p w14:paraId="52F68FC4" w14:textId="27A5DD90" w:rsidR="00791797" w:rsidRPr="000860E3" w:rsidRDefault="00791797">
      <w:pPr>
        <w:spacing w:before="0"/>
        <w:rPr>
          <w:sz w:val="44"/>
          <w:lang w:val="en-GB"/>
        </w:rPr>
      </w:pPr>
      <w:r w:rsidRPr="000860E3">
        <w:rPr>
          <w:sz w:val="44"/>
          <w:lang w:val="en-GB"/>
        </w:rPr>
        <w:br w:type="page"/>
      </w:r>
    </w:p>
    <w:p w14:paraId="79492320" w14:textId="3E456E92" w:rsidR="00D35A3E" w:rsidRPr="000860E3" w:rsidRDefault="00D35A3E" w:rsidP="00CB695C">
      <w:pPr>
        <w:pStyle w:val="Heading1"/>
        <w:rPr>
          <w:lang w:val="en-GB"/>
        </w:rPr>
      </w:pPr>
      <w:bookmarkStart w:id="0" w:name="_Toc77000111"/>
      <w:r w:rsidRPr="000860E3">
        <w:rPr>
          <w:lang w:val="en-GB"/>
        </w:rPr>
        <w:lastRenderedPageBreak/>
        <w:t>Co</w:t>
      </w:r>
      <w:r w:rsidR="00CB695C" w:rsidRPr="000860E3">
        <w:rPr>
          <w:lang w:val="en-GB"/>
        </w:rPr>
        <w:t>ntext</w:t>
      </w:r>
      <w:bookmarkEnd w:id="0"/>
      <w:r w:rsidR="00CB695C" w:rsidRPr="000860E3">
        <w:rPr>
          <w:lang w:val="en-GB"/>
        </w:rPr>
        <w:t xml:space="preserve"> </w:t>
      </w:r>
    </w:p>
    <w:p w14:paraId="19A01315" w14:textId="70A7C081" w:rsidR="006D175E" w:rsidRPr="000860E3" w:rsidRDefault="00CD080B" w:rsidP="00EB7DD7">
      <w:pPr>
        <w:jc w:val="both"/>
        <w:rPr>
          <w:lang w:val="en-GB"/>
        </w:rPr>
      </w:pPr>
      <w:r w:rsidRPr="000860E3">
        <w:rPr>
          <w:lang w:val="en-GB"/>
        </w:rPr>
        <w:t xml:space="preserve">This MIG mini-workshop </w:t>
      </w:r>
      <w:r w:rsidR="000A32D8" w:rsidRPr="000860E3">
        <w:rPr>
          <w:lang w:val="en-GB"/>
        </w:rPr>
        <w:t xml:space="preserve">will </w:t>
      </w:r>
      <w:r w:rsidRPr="000860E3">
        <w:rPr>
          <w:lang w:val="en-GB"/>
        </w:rPr>
        <w:t>follow</w:t>
      </w:r>
      <w:r w:rsidR="000A32D8" w:rsidRPr="000860E3">
        <w:rPr>
          <w:lang w:val="en-GB"/>
        </w:rPr>
        <w:t xml:space="preserve"> </w:t>
      </w:r>
      <w:r w:rsidRPr="000860E3">
        <w:rPr>
          <w:lang w:val="en-GB"/>
        </w:rPr>
        <w:t>up on discussion</w:t>
      </w:r>
      <w:r w:rsidR="006D175E" w:rsidRPr="000860E3">
        <w:rPr>
          <w:lang w:val="en-GB"/>
        </w:rPr>
        <w:t>s</w:t>
      </w:r>
      <w:r w:rsidRPr="000860E3">
        <w:rPr>
          <w:lang w:val="en-GB"/>
        </w:rPr>
        <w:t xml:space="preserve"> that already took place in the MIG-T meeting</w:t>
      </w:r>
      <w:r w:rsidR="006D175E" w:rsidRPr="000860E3">
        <w:rPr>
          <w:lang w:val="en-GB"/>
        </w:rPr>
        <w:t>s</w:t>
      </w:r>
      <w:r w:rsidRPr="000860E3">
        <w:rPr>
          <w:lang w:val="en-GB"/>
        </w:rPr>
        <w:t xml:space="preserve"> on the topic </w:t>
      </w:r>
      <w:r w:rsidR="000A32D8" w:rsidRPr="000860E3">
        <w:rPr>
          <w:lang w:val="en-GB"/>
        </w:rPr>
        <w:t xml:space="preserve">of </w:t>
      </w:r>
      <w:r w:rsidR="006D175E" w:rsidRPr="000860E3">
        <w:rPr>
          <w:lang w:val="en-GB"/>
        </w:rPr>
        <w:t>“Harmonised and non-harmonised datasets in INSPIRE”</w:t>
      </w:r>
      <w:r w:rsidR="00FD615A" w:rsidRPr="000860E3">
        <w:rPr>
          <w:rStyle w:val="FootnoteReference"/>
          <w:lang w:val="en-GB"/>
        </w:rPr>
        <w:footnoteReference w:id="2"/>
      </w:r>
      <w:r w:rsidR="006D175E" w:rsidRPr="000860E3">
        <w:rPr>
          <w:lang w:val="en-GB"/>
        </w:rPr>
        <w:t xml:space="preserve"> </w:t>
      </w:r>
      <w:r w:rsidRPr="000860E3">
        <w:rPr>
          <w:lang w:val="en-GB"/>
        </w:rPr>
        <w:t xml:space="preserve">and will feed into the work of </w:t>
      </w:r>
      <w:hyperlink r:id="rId9" w:history="1">
        <w:r w:rsidRPr="000860E3">
          <w:rPr>
            <w:rStyle w:val="Hyperlink"/>
            <w:color w:val="auto"/>
            <w:lang w:val="en-GB"/>
          </w:rPr>
          <w:t>MIWP Action 2.2</w:t>
        </w:r>
      </w:hyperlink>
      <w:r w:rsidRPr="000860E3">
        <w:rPr>
          <w:lang w:val="en-GB"/>
        </w:rPr>
        <w:t xml:space="preserve"> “Roadmap for priority-driven implementation” where this issue will be </w:t>
      </w:r>
      <w:r w:rsidR="000A32D8" w:rsidRPr="000860E3">
        <w:rPr>
          <w:lang w:val="en-GB"/>
        </w:rPr>
        <w:t xml:space="preserve">further </w:t>
      </w:r>
      <w:r w:rsidRPr="000860E3">
        <w:rPr>
          <w:lang w:val="en-GB"/>
        </w:rPr>
        <w:t xml:space="preserve">picked up from a policy and legal perspective. Under </w:t>
      </w:r>
      <w:r w:rsidR="006D175E" w:rsidRPr="000860E3">
        <w:rPr>
          <w:lang w:val="en-GB"/>
        </w:rPr>
        <w:t>MIWP A</w:t>
      </w:r>
      <w:r w:rsidRPr="000860E3">
        <w:rPr>
          <w:lang w:val="en-GB"/>
        </w:rPr>
        <w:t>ction</w:t>
      </w:r>
      <w:r w:rsidR="006D175E" w:rsidRPr="000860E3">
        <w:rPr>
          <w:lang w:val="en-GB"/>
        </w:rPr>
        <w:t xml:space="preserve"> 2.2 </w:t>
      </w:r>
      <w:r w:rsidRPr="000860E3">
        <w:rPr>
          <w:lang w:val="en-GB"/>
        </w:rPr>
        <w:t xml:space="preserve">we will work together towards a proportionate harmonisation effort in line with the data prioritisation effort that has been kicked off under </w:t>
      </w:r>
      <w:hyperlink r:id="rId10" w:history="1">
        <w:r w:rsidRPr="000860E3">
          <w:rPr>
            <w:rStyle w:val="Hyperlink"/>
            <w:color w:val="auto"/>
            <w:lang w:val="en-GB"/>
          </w:rPr>
          <w:t>MIWP Action 2.1</w:t>
        </w:r>
      </w:hyperlink>
      <w:r w:rsidRPr="000860E3">
        <w:rPr>
          <w:lang w:val="en-GB"/>
        </w:rPr>
        <w:t xml:space="preserve"> “Need-driven data prioritisation”. All this</w:t>
      </w:r>
      <w:r w:rsidR="00285C6C" w:rsidRPr="000860E3">
        <w:rPr>
          <w:lang w:val="en-GB"/>
        </w:rPr>
        <w:t xml:space="preserve"> aims</w:t>
      </w:r>
      <w:r w:rsidRPr="000860E3">
        <w:rPr>
          <w:lang w:val="en-GB"/>
        </w:rPr>
        <w:t xml:space="preserve"> to create a clear and common understanding of minimal harmonisation efforts and interoperability requirements</w:t>
      </w:r>
      <w:r w:rsidR="006D175E" w:rsidRPr="000860E3">
        <w:rPr>
          <w:lang w:val="en-GB"/>
        </w:rPr>
        <w:t xml:space="preserve"> within the boundaries of the </w:t>
      </w:r>
      <w:r w:rsidR="00F46597" w:rsidRPr="000860E3">
        <w:rPr>
          <w:lang w:val="en-GB"/>
        </w:rPr>
        <w:t xml:space="preserve">current </w:t>
      </w:r>
      <w:r w:rsidR="006D175E" w:rsidRPr="000860E3">
        <w:rPr>
          <w:lang w:val="en-GB"/>
        </w:rPr>
        <w:t>legislative framework</w:t>
      </w:r>
      <w:r w:rsidRPr="000860E3">
        <w:rPr>
          <w:lang w:val="en-GB"/>
        </w:rPr>
        <w:t>.   </w:t>
      </w:r>
    </w:p>
    <w:p w14:paraId="1F4D2371" w14:textId="5988C73F" w:rsidR="00650D0F" w:rsidRPr="000860E3" w:rsidRDefault="00650D0F" w:rsidP="00650D0F">
      <w:pPr>
        <w:pStyle w:val="Heading1"/>
        <w:rPr>
          <w:lang w:val="en-GB"/>
        </w:rPr>
      </w:pPr>
      <w:bookmarkStart w:id="1" w:name="_Toc77000112"/>
      <w:r w:rsidRPr="000860E3">
        <w:rPr>
          <w:lang w:val="en-GB"/>
        </w:rPr>
        <w:t>Problem statement</w:t>
      </w:r>
      <w:bookmarkEnd w:id="1"/>
    </w:p>
    <w:p w14:paraId="5C20748A" w14:textId="1E15795D" w:rsidR="00CD080B" w:rsidRPr="000860E3" w:rsidRDefault="00EB7DD7" w:rsidP="00EB7DD7">
      <w:pPr>
        <w:jc w:val="both"/>
        <w:rPr>
          <w:lang w:val="en-GB"/>
        </w:rPr>
      </w:pPr>
      <w:r w:rsidRPr="000860E3">
        <w:rPr>
          <w:lang w:val="en-GB"/>
        </w:rPr>
        <w:t>Recently, s</w:t>
      </w:r>
      <w:r w:rsidR="006D175E" w:rsidRPr="000860E3">
        <w:rPr>
          <w:lang w:val="en-GB"/>
        </w:rPr>
        <w:t xml:space="preserve">everal </w:t>
      </w:r>
      <w:r w:rsidR="00CD080B" w:rsidRPr="000860E3">
        <w:rPr>
          <w:lang w:val="en-GB"/>
        </w:rPr>
        <w:t xml:space="preserve">countries have </w:t>
      </w:r>
      <w:r w:rsidRPr="000860E3">
        <w:rPr>
          <w:lang w:val="en-GB"/>
        </w:rPr>
        <w:t xml:space="preserve">had </w:t>
      </w:r>
      <w:r w:rsidR="00CD080B" w:rsidRPr="000860E3">
        <w:rPr>
          <w:lang w:val="en-GB"/>
        </w:rPr>
        <w:t xml:space="preserve">the reflex to limit the data </w:t>
      </w:r>
      <w:r w:rsidR="008E4932" w:rsidRPr="000860E3">
        <w:rPr>
          <w:lang w:val="en-GB"/>
        </w:rPr>
        <w:t xml:space="preserve">and data services </w:t>
      </w:r>
      <w:r w:rsidR="00CD080B" w:rsidRPr="000860E3">
        <w:rPr>
          <w:lang w:val="en-GB"/>
        </w:rPr>
        <w:t>they bring into the INSPIRE infrastructure to</w:t>
      </w:r>
      <w:r w:rsidR="00D62ECF" w:rsidRPr="000860E3">
        <w:rPr>
          <w:lang w:val="en-GB"/>
        </w:rPr>
        <w:t xml:space="preserve"> minimize the possible negative impact of as-is data, especially on the </w:t>
      </w:r>
      <w:r w:rsidR="00285C6C" w:rsidRPr="000860E3">
        <w:rPr>
          <w:lang w:val="en-GB"/>
        </w:rPr>
        <w:t xml:space="preserve">monitoring </w:t>
      </w:r>
      <w:r w:rsidR="00D62ECF" w:rsidRPr="000860E3">
        <w:rPr>
          <w:lang w:val="en-GB"/>
        </w:rPr>
        <w:t xml:space="preserve">indicator on data conformity (DSi2.x), and </w:t>
      </w:r>
      <w:r w:rsidR="00CD080B" w:rsidRPr="000860E3">
        <w:rPr>
          <w:lang w:val="en-GB"/>
        </w:rPr>
        <w:t>maximize their measured performance th</w:t>
      </w:r>
      <w:r w:rsidR="00D62ECF" w:rsidRPr="000860E3">
        <w:rPr>
          <w:lang w:val="en-GB"/>
        </w:rPr>
        <w:t>rough the monitoring indicators.</w:t>
      </w:r>
      <w:r w:rsidR="00CD080B" w:rsidRPr="000860E3">
        <w:rPr>
          <w:lang w:val="en-GB"/>
        </w:rPr>
        <w:t xml:space="preserve"> This is an unfortunate development and </w:t>
      </w:r>
      <w:r w:rsidR="00285C6C" w:rsidRPr="000860E3">
        <w:rPr>
          <w:lang w:val="en-GB"/>
        </w:rPr>
        <w:t xml:space="preserve">a </w:t>
      </w:r>
      <w:r w:rsidR="00CD080B" w:rsidRPr="000860E3">
        <w:rPr>
          <w:lang w:val="en-GB"/>
        </w:rPr>
        <w:t xml:space="preserve">trend that </w:t>
      </w:r>
      <w:r w:rsidR="00D62ECF" w:rsidRPr="000860E3">
        <w:rPr>
          <w:lang w:val="en-GB"/>
        </w:rPr>
        <w:t xml:space="preserve">the Commission </w:t>
      </w:r>
      <w:r w:rsidR="00CD080B" w:rsidRPr="000860E3">
        <w:rPr>
          <w:lang w:val="en-GB"/>
        </w:rPr>
        <w:t>would like to turn around. The INSPIRE Directive was not specifically established to provide the Commission with environmental data, but to promote as much as possible the sharing of environmental data to support the development and implementation of environmental and related legislation at all levels of administration. This principle is more relevant than ever in view of the common European ambition for a transition to a more sustainable society</w:t>
      </w:r>
      <w:r w:rsidR="00A17189" w:rsidRPr="000860E3">
        <w:rPr>
          <w:lang w:val="en-GB"/>
        </w:rPr>
        <w:t xml:space="preserve"> and in the providing data only once</w:t>
      </w:r>
      <w:r w:rsidR="00CD080B" w:rsidRPr="000860E3">
        <w:rPr>
          <w:lang w:val="en-GB"/>
        </w:rPr>
        <w:t xml:space="preserve">. From a usage perspective, the question on how data should be made available (harmonised or as-is) depends </w:t>
      </w:r>
      <w:r w:rsidRPr="000860E3">
        <w:rPr>
          <w:lang w:val="en-GB"/>
        </w:rPr>
        <w:t xml:space="preserve">largely </w:t>
      </w:r>
      <w:r w:rsidR="00CD080B" w:rsidRPr="000860E3">
        <w:rPr>
          <w:lang w:val="en-GB"/>
        </w:rPr>
        <w:t>on the quality and the richness of the data made available</w:t>
      </w:r>
      <w:r w:rsidRPr="000860E3">
        <w:rPr>
          <w:lang w:val="en-GB"/>
        </w:rPr>
        <w:t>.</w:t>
      </w:r>
      <w:r w:rsidR="00CD080B" w:rsidRPr="000860E3">
        <w:rPr>
          <w:lang w:val="en-GB"/>
        </w:rPr>
        <w:t xml:space="preserve"> </w:t>
      </w:r>
      <w:r w:rsidRPr="000860E3">
        <w:rPr>
          <w:lang w:val="en-GB"/>
        </w:rPr>
        <w:t>E</w:t>
      </w:r>
      <w:r w:rsidR="00CD080B" w:rsidRPr="000860E3">
        <w:rPr>
          <w:lang w:val="en-GB"/>
        </w:rPr>
        <w:t xml:space="preserve">.g. if a harmonised INSPIRE address data set is three years old and the as-is address data set is </w:t>
      </w:r>
      <w:r w:rsidRPr="000860E3">
        <w:rPr>
          <w:lang w:val="en-GB"/>
        </w:rPr>
        <w:t xml:space="preserve">richer and </w:t>
      </w:r>
      <w:r w:rsidR="00CD080B" w:rsidRPr="000860E3">
        <w:rPr>
          <w:lang w:val="en-GB"/>
        </w:rPr>
        <w:t xml:space="preserve">updated </w:t>
      </w:r>
      <w:r w:rsidR="00A17189" w:rsidRPr="000860E3">
        <w:rPr>
          <w:lang w:val="en-GB"/>
        </w:rPr>
        <w:t>daily</w:t>
      </w:r>
      <w:r w:rsidRPr="000860E3">
        <w:rPr>
          <w:lang w:val="en-GB"/>
        </w:rPr>
        <w:t>,</w:t>
      </w:r>
      <w:r w:rsidR="00CD080B" w:rsidRPr="000860E3">
        <w:rPr>
          <w:lang w:val="en-GB"/>
        </w:rPr>
        <w:t xml:space="preserve"> then preference would go to the higher quality as-is data. </w:t>
      </w:r>
      <w:r w:rsidR="00285C6C" w:rsidRPr="000860E3">
        <w:rPr>
          <w:lang w:val="en-GB"/>
        </w:rPr>
        <w:t xml:space="preserve">In addition, today we have </w:t>
      </w:r>
      <w:r w:rsidR="006A46D2" w:rsidRPr="000860E3">
        <w:rPr>
          <w:lang w:val="en-GB"/>
        </w:rPr>
        <w:t xml:space="preserve">at our disposal </w:t>
      </w:r>
      <w:r w:rsidR="00285C6C" w:rsidRPr="000860E3">
        <w:rPr>
          <w:lang w:val="en-GB"/>
        </w:rPr>
        <w:t>a rich portfolio of easy to use software tools that can be used to combine harmonized, but also as-is data.</w:t>
      </w:r>
    </w:p>
    <w:p w14:paraId="59A8361C" w14:textId="7D59991A" w:rsidR="00BE469D" w:rsidRPr="000860E3" w:rsidRDefault="001129AB" w:rsidP="00EB7DD7">
      <w:pPr>
        <w:jc w:val="both"/>
        <w:rPr>
          <w:b/>
          <w:i/>
          <w:lang w:val="en-GB"/>
        </w:rPr>
      </w:pPr>
      <w:r w:rsidRPr="000860E3">
        <w:rPr>
          <w:b/>
          <w:i/>
          <w:lang w:val="en-GB"/>
        </w:rPr>
        <w:t xml:space="preserve">Standing considerations and </w:t>
      </w:r>
      <w:r w:rsidR="00BE469D" w:rsidRPr="000860E3">
        <w:rPr>
          <w:b/>
          <w:i/>
          <w:lang w:val="en-GB"/>
        </w:rPr>
        <w:t xml:space="preserve">conclusions from </w:t>
      </w:r>
      <w:r w:rsidRPr="000860E3">
        <w:rPr>
          <w:b/>
          <w:i/>
          <w:lang w:val="en-GB"/>
        </w:rPr>
        <w:t xml:space="preserve">previous </w:t>
      </w:r>
      <w:r w:rsidR="00BE469D" w:rsidRPr="000860E3">
        <w:rPr>
          <w:b/>
          <w:i/>
          <w:lang w:val="en-GB"/>
        </w:rPr>
        <w:t>discussion</w:t>
      </w:r>
      <w:r w:rsidRPr="000860E3">
        <w:rPr>
          <w:b/>
          <w:i/>
          <w:lang w:val="en-GB"/>
        </w:rPr>
        <w:t>s</w:t>
      </w:r>
      <w:r w:rsidR="00BE469D" w:rsidRPr="000860E3">
        <w:rPr>
          <w:b/>
          <w:i/>
          <w:lang w:val="en-GB"/>
        </w:rPr>
        <w:t xml:space="preserve"> in the MIG-T are:</w:t>
      </w:r>
    </w:p>
    <w:p w14:paraId="3F84AD6A" w14:textId="44A0141F" w:rsidR="001129AB" w:rsidRPr="000860E3" w:rsidRDefault="001129AB" w:rsidP="006E7E70">
      <w:pPr>
        <w:pStyle w:val="ListParagraph"/>
        <w:numPr>
          <w:ilvl w:val="0"/>
          <w:numId w:val="2"/>
        </w:numPr>
        <w:rPr>
          <w:lang w:val="en-GB"/>
        </w:rPr>
      </w:pPr>
      <w:r w:rsidRPr="000860E3">
        <w:rPr>
          <w:lang w:val="en-GB"/>
        </w:rPr>
        <w:t>Considerations:</w:t>
      </w:r>
    </w:p>
    <w:p w14:paraId="4A060985" w14:textId="54FB15EB" w:rsidR="001129AB" w:rsidRPr="000860E3" w:rsidRDefault="00BE469D" w:rsidP="006E7E70">
      <w:pPr>
        <w:pStyle w:val="ListParagraph"/>
        <w:numPr>
          <w:ilvl w:val="1"/>
          <w:numId w:val="2"/>
        </w:numPr>
        <w:rPr>
          <w:lang w:val="en-GB"/>
        </w:rPr>
      </w:pPr>
      <w:r w:rsidRPr="000860E3">
        <w:rPr>
          <w:lang w:val="en-GB"/>
        </w:rPr>
        <w:t xml:space="preserve">No transformation services are used, so the harmonized data is a separate data set. </w:t>
      </w:r>
    </w:p>
    <w:p w14:paraId="32BC2EA8" w14:textId="6812E5EB" w:rsidR="00BE469D" w:rsidRPr="000860E3" w:rsidRDefault="00BE469D" w:rsidP="006E7E70">
      <w:pPr>
        <w:pStyle w:val="ListParagraph"/>
        <w:numPr>
          <w:ilvl w:val="1"/>
          <w:numId w:val="2"/>
        </w:numPr>
        <w:rPr>
          <w:lang w:val="en-GB"/>
        </w:rPr>
      </w:pPr>
      <w:r w:rsidRPr="000860E3">
        <w:rPr>
          <w:lang w:val="en-GB"/>
        </w:rPr>
        <w:t xml:space="preserve">In most cases the INSPIRE models are not extended so both the “as is” and the harmonized data set are provided </w:t>
      </w:r>
      <w:r w:rsidR="008A536B" w:rsidRPr="000860E3">
        <w:rPr>
          <w:lang w:val="en-GB"/>
        </w:rPr>
        <w:t>through discovery services</w:t>
      </w:r>
    </w:p>
    <w:p w14:paraId="572D5DFC" w14:textId="380B5D8F" w:rsidR="008A536B" w:rsidRPr="000860E3" w:rsidRDefault="00BE469D" w:rsidP="006E7E70">
      <w:pPr>
        <w:pStyle w:val="ListParagraph"/>
        <w:numPr>
          <w:ilvl w:val="1"/>
          <w:numId w:val="2"/>
        </w:numPr>
        <w:rPr>
          <w:lang w:val="en-GB"/>
        </w:rPr>
      </w:pPr>
      <w:r w:rsidRPr="000860E3">
        <w:rPr>
          <w:lang w:val="en-GB"/>
        </w:rPr>
        <w:t>This negatively affects the monitoring indicator on conformity of datasets</w:t>
      </w:r>
      <w:r w:rsidR="0062282F" w:rsidRPr="000860E3">
        <w:rPr>
          <w:lang w:val="en-GB"/>
        </w:rPr>
        <w:t xml:space="preserve"> (DSi2.x family)</w:t>
      </w:r>
      <w:r w:rsidRPr="000860E3">
        <w:rPr>
          <w:lang w:val="en-GB"/>
        </w:rPr>
        <w:t>, we never reach 100%, at best approx</w:t>
      </w:r>
      <w:r w:rsidR="008A536B" w:rsidRPr="000860E3">
        <w:rPr>
          <w:lang w:val="en-GB"/>
        </w:rPr>
        <w:t>imately</w:t>
      </w:r>
      <w:r w:rsidRPr="000860E3">
        <w:rPr>
          <w:lang w:val="en-GB"/>
        </w:rPr>
        <w:t xml:space="preserve"> 60% </w:t>
      </w:r>
    </w:p>
    <w:p w14:paraId="5AE7FA32" w14:textId="158F7EC9" w:rsidR="001129AB" w:rsidRPr="000860E3" w:rsidRDefault="001129AB" w:rsidP="006E7E70">
      <w:pPr>
        <w:pStyle w:val="ListParagraph"/>
        <w:numPr>
          <w:ilvl w:val="1"/>
          <w:numId w:val="2"/>
        </w:numPr>
        <w:rPr>
          <w:lang w:val="en-GB"/>
        </w:rPr>
      </w:pPr>
      <w:r w:rsidRPr="000860E3">
        <w:rPr>
          <w:lang w:val="en-GB"/>
        </w:rPr>
        <w:t xml:space="preserve">The latest M&amp;R 2020 </w:t>
      </w:r>
      <w:r w:rsidR="0062282F" w:rsidRPr="000860E3">
        <w:rPr>
          <w:lang w:val="en-GB"/>
        </w:rPr>
        <w:t xml:space="preserve">clearly illustrates the </w:t>
      </w:r>
      <w:r w:rsidRPr="000860E3">
        <w:rPr>
          <w:lang w:val="en-GB"/>
        </w:rPr>
        <w:t>negativ</w:t>
      </w:r>
      <w:r w:rsidR="0062282F" w:rsidRPr="000860E3">
        <w:rPr>
          <w:lang w:val="en-GB"/>
        </w:rPr>
        <w:t>e side-effects</w:t>
      </w:r>
      <w:r w:rsidR="008A536B" w:rsidRPr="000860E3">
        <w:rPr>
          <w:lang w:val="en-GB"/>
        </w:rPr>
        <w:t xml:space="preserve"> of exposing both datasets</w:t>
      </w:r>
    </w:p>
    <w:p w14:paraId="2EDD1565" w14:textId="47253235" w:rsidR="00BE469D" w:rsidRPr="000860E3" w:rsidRDefault="001129AB" w:rsidP="006E7E70">
      <w:pPr>
        <w:pStyle w:val="ListParagraph"/>
        <w:numPr>
          <w:ilvl w:val="0"/>
          <w:numId w:val="2"/>
        </w:numPr>
        <w:rPr>
          <w:lang w:val="en-GB"/>
        </w:rPr>
      </w:pPr>
      <w:r w:rsidRPr="000860E3">
        <w:rPr>
          <w:lang w:val="en-GB"/>
        </w:rPr>
        <w:t>Conclusions:</w:t>
      </w:r>
      <w:r w:rsidR="00BE469D" w:rsidRPr="000860E3">
        <w:rPr>
          <w:lang w:val="en-GB"/>
        </w:rPr>
        <w:t xml:space="preserve"> </w:t>
      </w:r>
    </w:p>
    <w:p w14:paraId="67CD58B6" w14:textId="1C7D7585" w:rsidR="001129AB" w:rsidRPr="000860E3" w:rsidRDefault="003C5832" w:rsidP="006E7E70">
      <w:pPr>
        <w:pStyle w:val="ListParagraph"/>
        <w:numPr>
          <w:ilvl w:val="1"/>
          <w:numId w:val="2"/>
        </w:numPr>
        <w:rPr>
          <w:lang w:val="en-GB"/>
        </w:rPr>
      </w:pPr>
      <w:r w:rsidRPr="000860E3">
        <w:rPr>
          <w:lang w:val="en-GB"/>
        </w:rPr>
        <w:t>I</w:t>
      </w:r>
      <w:r w:rsidR="00BE469D" w:rsidRPr="000860E3">
        <w:rPr>
          <w:lang w:val="en-GB"/>
        </w:rPr>
        <w:t>t should be avoided that as-is data is removed just to improve the conformity indicator</w:t>
      </w:r>
      <w:r w:rsidR="000913C5" w:rsidRPr="000860E3">
        <w:rPr>
          <w:lang w:val="en-GB"/>
        </w:rPr>
        <w:t xml:space="preserve"> as this goes against the core principles of INSPIRE as an infrastructure that facilitates the access to environmental information</w:t>
      </w:r>
      <w:r w:rsidRPr="000860E3">
        <w:rPr>
          <w:lang w:val="en-GB"/>
        </w:rPr>
        <w:t>. T</w:t>
      </w:r>
      <w:r w:rsidR="00BE469D" w:rsidRPr="000860E3">
        <w:rPr>
          <w:lang w:val="en-GB"/>
        </w:rPr>
        <w:t>his is a wider discussion on the level of ambition of the INSPIRE infrastructure and its relationship with national infrastructures that should be held in the MIG.</w:t>
      </w:r>
    </w:p>
    <w:p w14:paraId="26E568CC" w14:textId="6947AB2C" w:rsidR="00BE469D" w:rsidRPr="000860E3" w:rsidRDefault="00BE469D" w:rsidP="006E7E70">
      <w:pPr>
        <w:pStyle w:val="ListParagraph"/>
        <w:numPr>
          <w:ilvl w:val="1"/>
          <w:numId w:val="2"/>
        </w:numPr>
        <w:rPr>
          <w:lang w:val="en-GB"/>
        </w:rPr>
      </w:pPr>
      <w:r w:rsidRPr="000860E3">
        <w:rPr>
          <w:lang w:val="en-GB"/>
        </w:rPr>
        <w:lastRenderedPageBreak/>
        <w:t xml:space="preserve">Three viable </w:t>
      </w:r>
      <w:r w:rsidR="003C5832" w:rsidRPr="000860E3">
        <w:rPr>
          <w:lang w:val="en-GB"/>
        </w:rPr>
        <w:t xml:space="preserve">technical </w:t>
      </w:r>
      <w:r w:rsidRPr="000860E3">
        <w:rPr>
          <w:lang w:val="en-GB"/>
        </w:rPr>
        <w:t xml:space="preserve">options </w:t>
      </w:r>
      <w:r w:rsidR="003C5832" w:rsidRPr="000860E3">
        <w:rPr>
          <w:lang w:val="en-GB"/>
        </w:rPr>
        <w:t xml:space="preserve">have been suggested </w:t>
      </w:r>
      <w:r w:rsidRPr="000860E3">
        <w:rPr>
          <w:lang w:val="en-GB"/>
        </w:rPr>
        <w:t>to tackle th</w:t>
      </w:r>
      <w:r w:rsidR="003C5832" w:rsidRPr="000860E3">
        <w:rPr>
          <w:lang w:val="en-GB"/>
        </w:rPr>
        <w:t xml:space="preserve">e </w:t>
      </w:r>
      <w:r w:rsidR="00FB7F6D" w:rsidRPr="000860E3">
        <w:rPr>
          <w:lang w:val="en-GB"/>
        </w:rPr>
        <w:t>negative impact on measured performance</w:t>
      </w:r>
      <w:r w:rsidR="003C5832" w:rsidRPr="000860E3">
        <w:rPr>
          <w:lang w:val="en-GB"/>
        </w:rPr>
        <w:t>:</w:t>
      </w:r>
    </w:p>
    <w:p w14:paraId="1CA79DD6" w14:textId="2C836B1A" w:rsidR="0021306F" w:rsidRPr="000860E3" w:rsidRDefault="00FB7F6D" w:rsidP="006E7E70">
      <w:pPr>
        <w:pStyle w:val="ListParagraph"/>
        <w:numPr>
          <w:ilvl w:val="2"/>
          <w:numId w:val="2"/>
        </w:numPr>
        <w:rPr>
          <w:lang w:val="en-GB"/>
        </w:rPr>
      </w:pPr>
      <w:r w:rsidRPr="000860E3">
        <w:rPr>
          <w:lang w:val="en-GB"/>
        </w:rPr>
        <w:t>1. O</w:t>
      </w:r>
      <w:r w:rsidR="00617974" w:rsidRPr="000860E3">
        <w:rPr>
          <w:lang w:val="en-GB"/>
        </w:rPr>
        <w:t>ne metadata</w:t>
      </w:r>
      <w:r w:rsidRPr="000860E3">
        <w:rPr>
          <w:lang w:val="en-GB"/>
        </w:rPr>
        <w:t xml:space="preserve"> record</w:t>
      </w:r>
      <w:r w:rsidR="00617974" w:rsidRPr="000860E3">
        <w:rPr>
          <w:lang w:val="en-GB"/>
        </w:rPr>
        <w:t xml:space="preserve"> in the national CSW</w:t>
      </w:r>
      <w:r w:rsidRPr="000860E3">
        <w:rPr>
          <w:lang w:val="en-GB"/>
        </w:rPr>
        <w:t xml:space="preserve"> describing both </w:t>
      </w:r>
      <w:r w:rsidR="00617974" w:rsidRPr="000860E3">
        <w:rPr>
          <w:lang w:val="en-GB"/>
        </w:rPr>
        <w:t>"as-is"</w:t>
      </w:r>
      <w:r w:rsidRPr="000860E3">
        <w:rPr>
          <w:lang w:val="en-GB"/>
        </w:rPr>
        <w:t xml:space="preserve"> and INSPIRE harmonize data sets. </w:t>
      </w:r>
      <w:r w:rsidR="00B01088" w:rsidRPr="000860E3">
        <w:rPr>
          <w:lang w:val="en-GB"/>
        </w:rPr>
        <w:t>Available spatial data services would reference this single metadata record.</w:t>
      </w:r>
    </w:p>
    <w:p w14:paraId="1FC34EDC" w14:textId="7BD985C0" w:rsidR="0021306F" w:rsidRPr="000860E3" w:rsidRDefault="00FB7F6D" w:rsidP="006E7E70">
      <w:pPr>
        <w:pStyle w:val="ListParagraph"/>
        <w:numPr>
          <w:ilvl w:val="2"/>
          <w:numId w:val="2"/>
        </w:numPr>
        <w:rPr>
          <w:lang w:val="en-GB"/>
        </w:rPr>
      </w:pPr>
      <w:r w:rsidRPr="000860E3">
        <w:rPr>
          <w:lang w:val="en-GB"/>
        </w:rPr>
        <w:t>2. T</w:t>
      </w:r>
      <w:r w:rsidR="00617974" w:rsidRPr="000860E3">
        <w:rPr>
          <w:lang w:val="en-GB"/>
        </w:rPr>
        <w:t xml:space="preserve">wo metadata </w:t>
      </w:r>
      <w:r w:rsidRPr="000860E3">
        <w:rPr>
          <w:lang w:val="en-GB"/>
        </w:rPr>
        <w:t xml:space="preserve">records </w:t>
      </w:r>
      <w:r w:rsidR="00617974" w:rsidRPr="000860E3">
        <w:rPr>
          <w:lang w:val="en-GB"/>
        </w:rPr>
        <w:t xml:space="preserve">in the national CSW, one </w:t>
      </w:r>
      <w:r w:rsidRPr="000860E3">
        <w:rPr>
          <w:lang w:val="en-GB"/>
        </w:rPr>
        <w:t xml:space="preserve">for </w:t>
      </w:r>
      <w:r w:rsidR="00617974" w:rsidRPr="000860E3">
        <w:rPr>
          <w:lang w:val="en-GB"/>
        </w:rPr>
        <w:t>"as-is"</w:t>
      </w:r>
      <w:r w:rsidRPr="000860E3">
        <w:rPr>
          <w:lang w:val="en-GB"/>
        </w:rPr>
        <w:t xml:space="preserve"> and one for INSPIRE harmonized.</w:t>
      </w:r>
      <w:r w:rsidR="00B01088" w:rsidRPr="000860E3">
        <w:rPr>
          <w:lang w:val="en-GB"/>
        </w:rPr>
        <w:t xml:space="preserve"> Available spatial data services would reference the relevant metadata record.</w:t>
      </w:r>
    </w:p>
    <w:p w14:paraId="5699D870" w14:textId="02DB638A" w:rsidR="0021306F" w:rsidRPr="000860E3" w:rsidRDefault="00FB7F6D" w:rsidP="006E7E70">
      <w:pPr>
        <w:pStyle w:val="ListParagraph"/>
        <w:numPr>
          <w:ilvl w:val="2"/>
          <w:numId w:val="2"/>
        </w:numPr>
        <w:rPr>
          <w:lang w:val="en-GB"/>
        </w:rPr>
      </w:pPr>
      <w:r w:rsidRPr="000860E3">
        <w:rPr>
          <w:lang w:val="en-GB"/>
        </w:rPr>
        <w:t>3. T</w:t>
      </w:r>
      <w:r w:rsidR="00617974" w:rsidRPr="000860E3">
        <w:rPr>
          <w:lang w:val="en-GB"/>
        </w:rPr>
        <w:t xml:space="preserve">wo metadata </w:t>
      </w:r>
      <w:r w:rsidRPr="000860E3">
        <w:rPr>
          <w:lang w:val="en-GB"/>
        </w:rPr>
        <w:t xml:space="preserve">records </w:t>
      </w:r>
      <w:r w:rsidR="00617974" w:rsidRPr="000860E3">
        <w:rPr>
          <w:lang w:val="en-GB"/>
        </w:rPr>
        <w:t xml:space="preserve">in the national CSW, </w:t>
      </w:r>
      <w:r w:rsidRPr="000860E3">
        <w:rPr>
          <w:lang w:val="en-GB"/>
        </w:rPr>
        <w:t>only one is collected</w:t>
      </w:r>
      <w:r w:rsidR="00617974" w:rsidRPr="000860E3">
        <w:rPr>
          <w:lang w:val="en-GB"/>
        </w:rPr>
        <w:t xml:space="preserve"> with a specific OGC filter during the harvest by the INSPIRE Geoportal</w:t>
      </w:r>
      <w:r w:rsidRPr="000860E3">
        <w:rPr>
          <w:lang w:val="en-GB"/>
        </w:rPr>
        <w:t>.</w:t>
      </w:r>
    </w:p>
    <w:p w14:paraId="05915EAB" w14:textId="6CA7F066" w:rsidR="0021306F" w:rsidRPr="000860E3" w:rsidRDefault="0021306F" w:rsidP="00FB7F6D">
      <w:pPr>
        <w:pStyle w:val="ListParagraph"/>
        <w:ind w:left="1440"/>
        <w:rPr>
          <w:lang w:val="en-GB"/>
        </w:rPr>
      </w:pPr>
    </w:p>
    <w:p w14:paraId="48275A04" w14:textId="783C5C55" w:rsidR="00CD080B" w:rsidRPr="000860E3" w:rsidRDefault="00991087" w:rsidP="00EB7DD7">
      <w:pPr>
        <w:jc w:val="both"/>
        <w:rPr>
          <w:lang w:val="en-GB"/>
        </w:rPr>
      </w:pPr>
      <w:r w:rsidRPr="000860E3">
        <w:rPr>
          <w:lang w:val="en-GB"/>
        </w:rPr>
        <w:t>By law</w:t>
      </w:r>
      <w:r w:rsidR="00D62ECF" w:rsidRPr="000860E3">
        <w:rPr>
          <w:lang w:val="en-GB"/>
        </w:rPr>
        <w:t xml:space="preserve">, the data scope of the INSPIRE Directive is not limited by </w:t>
      </w:r>
      <w:r w:rsidR="00EF31F4" w:rsidRPr="000860E3">
        <w:rPr>
          <w:lang w:val="en-GB"/>
        </w:rPr>
        <w:t xml:space="preserve">neither </w:t>
      </w:r>
      <w:r w:rsidR="00D62ECF" w:rsidRPr="000860E3">
        <w:rPr>
          <w:lang w:val="en-GB"/>
        </w:rPr>
        <w:t xml:space="preserve">the Annexes to the Directive nor </w:t>
      </w:r>
      <w:r w:rsidR="00EB7DD7" w:rsidRPr="000860E3">
        <w:rPr>
          <w:lang w:val="en-GB"/>
        </w:rPr>
        <w:t>by</w:t>
      </w:r>
      <w:r w:rsidR="00D62ECF" w:rsidRPr="000860E3">
        <w:rPr>
          <w:lang w:val="en-GB"/>
        </w:rPr>
        <w:t xml:space="preserve"> the commonly agreed data priorities.</w:t>
      </w:r>
      <w:r w:rsidR="00EB7DD7" w:rsidRPr="000860E3">
        <w:rPr>
          <w:lang w:val="en-GB"/>
        </w:rPr>
        <w:t xml:space="preserve"> </w:t>
      </w:r>
      <w:r w:rsidR="00CD080B" w:rsidRPr="000860E3">
        <w:rPr>
          <w:lang w:val="en-GB"/>
        </w:rPr>
        <w:t xml:space="preserve">Article 4 of the Directive </w:t>
      </w:r>
      <w:r w:rsidR="00EB7DD7" w:rsidRPr="000860E3">
        <w:rPr>
          <w:lang w:val="en-GB"/>
        </w:rPr>
        <w:t xml:space="preserve">clearly </w:t>
      </w:r>
      <w:r w:rsidR="00D62ECF" w:rsidRPr="000860E3">
        <w:rPr>
          <w:lang w:val="en-GB"/>
        </w:rPr>
        <w:t xml:space="preserve">defines </w:t>
      </w:r>
      <w:r w:rsidR="00CD080B" w:rsidRPr="000860E3">
        <w:rPr>
          <w:lang w:val="en-GB"/>
        </w:rPr>
        <w:t>the scope of the data that has to be brought into the INSPIRE infrastructure. This scope does not differentiate between harmonised or as-is data sets. Both have to be provided. Only in case of identical data sets</w:t>
      </w:r>
      <w:r w:rsidR="00EB7DD7" w:rsidRPr="000860E3">
        <w:rPr>
          <w:lang w:val="en-GB"/>
        </w:rPr>
        <w:t>,</w:t>
      </w:r>
      <w:r w:rsidR="00CD080B" w:rsidRPr="000860E3">
        <w:rPr>
          <w:lang w:val="en-GB"/>
        </w:rPr>
        <w:t xml:space="preserve"> the reference version needs to be kept and the other versions can be omitted. The data prioritisation exercise we embarked on three years ago and that was </w:t>
      </w:r>
      <w:r w:rsidR="00BC10F5" w:rsidRPr="000860E3">
        <w:rPr>
          <w:lang w:val="en-GB"/>
        </w:rPr>
        <w:t xml:space="preserve">initially </w:t>
      </w:r>
      <w:r w:rsidR="00CD080B" w:rsidRPr="000860E3">
        <w:rPr>
          <w:lang w:val="en-GB"/>
        </w:rPr>
        <w:t xml:space="preserve">based on existing regulatory reporting obligation (priority data sets) by no means limits the legal data scope of the Directive. It is an instrument to </w:t>
      </w:r>
      <w:r w:rsidR="00BC10F5" w:rsidRPr="000860E3">
        <w:rPr>
          <w:lang w:val="en-GB"/>
        </w:rPr>
        <w:t xml:space="preserve">support </w:t>
      </w:r>
      <w:r w:rsidR="00CD080B" w:rsidRPr="000860E3">
        <w:rPr>
          <w:lang w:val="en-GB"/>
        </w:rPr>
        <w:t xml:space="preserve">countries </w:t>
      </w:r>
      <w:r w:rsidR="00BC10F5" w:rsidRPr="000860E3">
        <w:rPr>
          <w:lang w:val="en-GB"/>
        </w:rPr>
        <w:t xml:space="preserve">in </w:t>
      </w:r>
      <w:r w:rsidR="00CD080B" w:rsidRPr="000860E3">
        <w:rPr>
          <w:lang w:val="en-GB"/>
        </w:rPr>
        <w:t>develop</w:t>
      </w:r>
      <w:r w:rsidR="00BC10F5" w:rsidRPr="000860E3">
        <w:rPr>
          <w:lang w:val="en-GB"/>
        </w:rPr>
        <w:t>ing</w:t>
      </w:r>
      <w:r w:rsidR="00CD080B" w:rsidRPr="000860E3">
        <w:rPr>
          <w:lang w:val="en-GB"/>
        </w:rPr>
        <w:t xml:space="preserve"> a common and interoperable </w:t>
      </w:r>
      <w:r w:rsidR="00EB7DD7" w:rsidRPr="000860E3">
        <w:rPr>
          <w:lang w:val="en-GB"/>
        </w:rPr>
        <w:t xml:space="preserve">minimal </w:t>
      </w:r>
      <w:r w:rsidR="00CD080B" w:rsidRPr="000860E3">
        <w:rPr>
          <w:lang w:val="en-GB"/>
        </w:rPr>
        <w:t>data offering</w:t>
      </w:r>
      <w:r w:rsidR="00EB7DD7" w:rsidRPr="000860E3">
        <w:rPr>
          <w:lang w:val="en-GB"/>
        </w:rPr>
        <w:t xml:space="preserve"> across Member States</w:t>
      </w:r>
      <w:r w:rsidR="00BC10F5" w:rsidRPr="000860E3">
        <w:rPr>
          <w:lang w:val="en-GB"/>
        </w:rPr>
        <w:t>,</w:t>
      </w:r>
      <w:r w:rsidR="00EB7DD7" w:rsidRPr="000860E3">
        <w:rPr>
          <w:lang w:val="en-GB"/>
        </w:rPr>
        <w:t xml:space="preserve"> driven by existing environmental use cases (i.e. the environmental acquis). </w:t>
      </w:r>
      <w:r w:rsidR="00CD080B" w:rsidRPr="000860E3">
        <w:rPr>
          <w:lang w:val="en-GB"/>
        </w:rPr>
        <w:t xml:space="preserve">This instrument will now be </w:t>
      </w:r>
      <w:r w:rsidR="00EF31F4" w:rsidRPr="000860E3">
        <w:rPr>
          <w:lang w:val="en-GB"/>
        </w:rPr>
        <w:t xml:space="preserve">gradually </w:t>
      </w:r>
      <w:r w:rsidR="00CD080B" w:rsidRPr="000860E3">
        <w:rPr>
          <w:lang w:val="en-GB"/>
        </w:rPr>
        <w:t>extended</w:t>
      </w:r>
      <w:r w:rsidR="00EF31F4" w:rsidRPr="000860E3">
        <w:rPr>
          <w:lang w:val="en-GB"/>
        </w:rPr>
        <w:t>, in light of the new developments of the European Green Deal data space, and the Open Data Directive</w:t>
      </w:r>
      <w:r w:rsidR="00CD080B" w:rsidRPr="000860E3">
        <w:rPr>
          <w:lang w:val="en-GB"/>
        </w:rPr>
        <w:t xml:space="preserve"> to </w:t>
      </w:r>
      <w:r w:rsidR="00BC10F5" w:rsidRPr="000860E3">
        <w:rPr>
          <w:lang w:val="en-GB"/>
        </w:rPr>
        <w:t xml:space="preserve">also include </w:t>
      </w:r>
      <w:r w:rsidR="00CD080B" w:rsidRPr="000860E3">
        <w:rPr>
          <w:lang w:val="en-GB"/>
        </w:rPr>
        <w:t>core reference data and high-value data sets under MIWP Action 2.1.  </w:t>
      </w:r>
    </w:p>
    <w:p w14:paraId="48DA5A9E" w14:textId="3D9AC691" w:rsidR="00CD080B" w:rsidRPr="000860E3" w:rsidRDefault="00CD080B" w:rsidP="00EB7DD7">
      <w:pPr>
        <w:jc w:val="both"/>
        <w:rPr>
          <w:lang w:val="en-GB"/>
        </w:rPr>
      </w:pPr>
      <w:r w:rsidRPr="000860E3">
        <w:rPr>
          <w:lang w:val="en-GB"/>
        </w:rPr>
        <w:t xml:space="preserve">Following the spirit </w:t>
      </w:r>
      <w:r w:rsidR="00827EB9" w:rsidRPr="000860E3">
        <w:rPr>
          <w:lang w:val="en-GB"/>
        </w:rPr>
        <w:t xml:space="preserve">and the provisions </w:t>
      </w:r>
      <w:r w:rsidRPr="000860E3">
        <w:rPr>
          <w:lang w:val="en-GB"/>
        </w:rPr>
        <w:t xml:space="preserve">of the </w:t>
      </w:r>
      <w:r w:rsidR="00BC10F5" w:rsidRPr="000860E3">
        <w:rPr>
          <w:lang w:val="en-GB"/>
        </w:rPr>
        <w:t xml:space="preserve">INSPIRE </w:t>
      </w:r>
      <w:r w:rsidRPr="000860E3">
        <w:rPr>
          <w:lang w:val="en-GB"/>
        </w:rPr>
        <w:t xml:space="preserve">Directive, </w:t>
      </w:r>
      <w:r w:rsidR="00BC10F5" w:rsidRPr="000860E3">
        <w:rPr>
          <w:lang w:val="en-GB"/>
        </w:rPr>
        <w:t xml:space="preserve">any available digital data in support of environmental </w:t>
      </w:r>
      <w:r w:rsidR="00827EB9" w:rsidRPr="000860E3">
        <w:rPr>
          <w:lang w:val="en-GB"/>
        </w:rPr>
        <w:t>policy development</w:t>
      </w:r>
      <w:r w:rsidR="00B67828" w:rsidRPr="000860E3">
        <w:rPr>
          <w:lang w:val="en-GB"/>
        </w:rPr>
        <w:t xml:space="preserve"> (on all levels of administration e.g. </w:t>
      </w:r>
      <w:r w:rsidR="00EF31F4" w:rsidRPr="000860E3">
        <w:rPr>
          <w:lang w:val="en-GB"/>
        </w:rPr>
        <w:t>environmental impact assessments</w:t>
      </w:r>
      <w:r w:rsidR="00B67828" w:rsidRPr="000860E3">
        <w:rPr>
          <w:lang w:val="en-GB"/>
        </w:rPr>
        <w:t>, environmental permitting, policy impact assessment )</w:t>
      </w:r>
      <w:r w:rsidR="00EF31F4" w:rsidRPr="000860E3">
        <w:rPr>
          <w:lang w:val="en-GB"/>
        </w:rPr>
        <w:t>,</w:t>
      </w:r>
      <w:r w:rsidR="00B67828" w:rsidRPr="000860E3">
        <w:rPr>
          <w:lang w:val="en-GB"/>
        </w:rPr>
        <w:t xml:space="preserve"> o</w:t>
      </w:r>
      <w:r w:rsidR="00827EB9" w:rsidRPr="000860E3">
        <w:rPr>
          <w:lang w:val="en-GB"/>
        </w:rPr>
        <w:t>r related application domains (smart mobility, human health, climate adaptation, energy…)</w:t>
      </w:r>
      <w:r w:rsidR="001F737A" w:rsidRPr="000860E3">
        <w:rPr>
          <w:lang w:val="en-GB"/>
        </w:rPr>
        <w:t xml:space="preserve"> that contribute to a transition to a more sustainable society </w:t>
      </w:r>
      <w:r w:rsidR="00EF31F4" w:rsidRPr="000860E3">
        <w:rPr>
          <w:lang w:val="en-GB"/>
        </w:rPr>
        <w:t xml:space="preserve">and economy </w:t>
      </w:r>
      <w:r w:rsidR="001F737A" w:rsidRPr="000860E3">
        <w:rPr>
          <w:lang w:val="en-GB"/>
        </w:rPr>
        <w:t xml:space="preserve">should be documented </w:t>
      </w:r>
      <w:r w:rsidR="006D175E" w:rsidRPr="000860E3">
        <w:rPr>
          <w:lang w:val="en-GB"/>
        </w:rPr>
        <w:t xml:space="preserve">and made accessible </w:t>
      </w:r>
      <w:r w:rsidRPr="000860E3">
        <w:rPr>
          <w:lang w:val="en-GB"/>
        </w:rPr>
        <w:t xml:space="preserve">to </w:t>
      </w:r>
      <w:r w:rsidR="006D175E" w:rsidRPr="000860E3">
        <w:rPr>
          <w:lang w:val="en-GB"/>
        </w:rPr>
        <w:t xml:space="preserve">maximize </w:t>
      </w:r>
      <w:r w:rsidR="001F737A" w:rsidRPr="000860E3">
        <w:rPr>
          <w:lang w:val="en-GB"/>
        </w:rPr>
        <w:t xml:space="preserve">its </w:t>
      </w:r>
      <w:r w:rsidRPr="000860E3">
        <w:rPr>
          <w:lang w:val="en-GB"/>
        </w:rPr>
        <w:t xml:space="preserve">reuse. </w:t>
      </w:r>
      <w:r w:rsidR="001F737A" w:rsidRPr="000860E3">
        <w:rPr>
          <w:lang w:val="en-GB"/>
        </w:rPr>
        <w:t xml:space="preserve">At the same time, </w:t>
      </w:r>
      <w:r w:rsidR="008E4932" w:rsidRPr="000860E3">
        <w:rPr>
          <w:lang w:val="en-GB"/>
        </w:rPr>
        <w:t>common understanding is t</w:t>
      </w:r>
      <w:r w:rsidR="001F737A" w:rsidRPr="000860E3">
        <w:rPr>
          <w:lang w:val="en-GB"/>
        </w:rPr>
        <w:t>hat</w:t>
      </w:r>
      <w:r w:rsidR="008E4932" w:rsidRPr="000860E3">
        <w:rPr>
          <w:lang w:val="en-GB"/>
        </w:rPr>
        <w:t xml:space="preserve"> full, by defaul</w:t>
      </w:r>
      <w:r w:rsidR="00BE469D" w:rsidRPr="000860E3">
        <w:rPr>
          <w:lang w:val="en-GB"/>
        </w:rPr>
        <w:t>t</w:t>
      </w:r>
      <w:r w:rsidR="008E4932" w:rsidRPr="000860E3">
        <w:rPr>
          <w:lang w:val="en-GB"/>
        </w:rPr>
        <w:t xml:space="preserve"> harmonisation of all this data </w:t>
      </w:r>
      <w:r w:rsidR="00BE469D" w:rsidRPr="000860E3">
        <w:rPr>
          <w:lang w:val="en-GB"/>
        </w:rPr>
        <w:t>to common model</w:t>
      </w:r>
      <w:r w:rsidR="00F71E8A" w:rsidRPr="000860E3">
        <w:rPr>
          <w:lang w:val="en-GB"/>
        </w:rPr>
        <w:t>s</w:t>
      </w:r>
      <w:r w:rsidR="00BE469D" w:rsidRPr="000860E3">
        <w:rPr>
          <w:lang w:val="en-GB"/>
        </w:rPr>
        <w:t xml:space="preserve"> </w:t>
      </w:r>
      <w:r w:rsidR="008E4932" w:rsidRPr="000860E3">
        <w:rPr>
          <w:lang w:val="en-GB"/>
        </w:rPr>
        <w:t xml:space="preserve">would be disproportional in </w:t>
      </w:r>
      <w:r w:rsidR="00EF31F4" w:rsidRPr="000860E3">
        <w:rPr>
          <w:lang w:val="en-GB"/>
        </w:rPr>
        <w:t xml:space="preserve">the </w:t>
      </w:r>
      <w:r w:rsidR="008E4932" w:rsidRPr="000860E3">
        <w:rPr>
          <w:lang w:val="en-GB"/>
        </w:rPr>
        <w:t>absence of clear use cases</w:t>
      </w:r>
      <w:r w:rsidR="00BE469D" w:rsidRPr="000860E3">
        <w:rPr>
          <w:lang w:val="en-GB"/>
        </w:rPr>
        <w:t xml:space="preserve"> and seen the varying  information needs of the different application domains</w:t>
      </w:r>
      <w:r w:rsidR="008E4932" w:rsidRPr="000860E3">
        <w:rPr>
          <w:lang w:val="en-GB"/>
        </w:rPr>
        <w:t xml:space="preserve">. This principle is also embraced by the new MIWP 2021-2024, hence the use-driven data prioritization and prioritisation-driven implementation actions. </w:t>
      </w:r>
    </w:p>
    <w:p w14:paraId="048D51AE" w14:textId="62AB0604" w:rsidR="00141003" w:rsidRPr="000860E3" w:rsidRDefault="00BE469D" w:rsidP="00BE469D">
      <w:pPr>
        <w:pStyle w:val="Heading1"/>
        <w:rPr>
          <w:lang w:val="en-GB"/>
        </w:rPr>
      </w:pPr>
      <w:bookmarkStart w:id="2" w:name="_Toc77000113"/>
      <w:r w:rsidRPr="000860E3">
        <w:rPr>
          <w:lang w:val="en-GB"/>
        </w:rPr>
        <w:t>Objectives of the workshop</w:t>
      </w:r>
      <w:bookmarkEnd w:id="2"/>
      <w:r w:rsidR="00B67828" w:rsidRPr="000860E3">
        <w:rPr>
          <w:lang w:val="en-GB"/>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9243"/>
      </w:tblGrid>
      <w:tr w:rsidR="0062282F" w:rsidRPr="000860E3" w14:paraId="1B630AF0" w14:textId="77777777" w:rsidTr="0062282F">
        <w:tc>
          <w:tcPr>
            <w:tcW w:w="9243" w:type="dxa"/>
            <w:shd w:val="clear" w:color="auto" w:fill="F2F2F2" w:themeFill="background1" w:themeFillShade="F2"/>
          </w:tcPr>
          <w:p w14:paraId="02C0E281" w14:textId="0A002569" w:rsidR="0062282F" w:rsidRPr="000860E3" w:rsidRDefault="0062282F" w:rsidP="0062282F">
            <w:pPr>
              <w:jc w:val="both"/>
              <w:rPr>
                <w:lang w:val="en-GB"/>
              </w:rPr>
            </w:pPr>
            <w:r w:rsidRPr="000860E3">
              <w:rPr>
                <w:lang w:val="en-GB"/>
              </w:rPr>
              <w:t xml:space="preserve">Together with the Member State experts in the MIG, the </w:t>
            </w:r>
            <w:r w:rsidR="00AC536F" w:rsidRPr="000860E3">
              <w:rPr>
                <w:lang w:val="en-GB"/>
              </w:rPr>
              <w:t xml:space="preserve">European </w:t>
            </w:r>
            <w:r w:rsidRPr="000860E3">
              <w:rPr>
                <w:lang w:val="en-GB"/>
              </w:rPr>
              <w:t>Commission is committed to exploring feasible pathways towards a proportionate, user-driven implementation within the current legal framework. T</w:t>
            </w:r>
            <w:r w:rsidR="00A75433" w:rsidRPr="000860E3">
              <w:rPr>
                <w:lang w:val="en-GB"/>
              </w:rPr>
              <w:t>he m</w:t>
            </w:r>
            <w:r w:rsidRPr="000860E3">
              <w:rPr>
                <w:lang w:val="en-GB"/>
              </w:rPr>
              <w:t>ain question</w:t>
            </w:r>
            <w:r w:rsidR="00A75433" w:rsidRPr="000860E3">
              <w:rPr>
                <w:lang w:val="en-GB"/>
              </w:rPr>
              <w:t xml:space="preserve"> to be </w:t>
            </w:r>
            <w:r w:rsidRPr="000860E3">
              <w:rPr>
                <w:lang w:val="en-GB"/>
              </w:rPr>
              <w:t>addressed and answered to improve a consistent INSPIRE implementation and provide the necessary guidance to the implementers</w:t>
            </w:r>
            <w:r w:rsidR="00A75433" w:rsidRPr="000860E3">
              <w:rPr>
                <w:lang w:val="en-GB"/>
              </w:rPr>
              <w:t xml:space="preserve"> is</w:t>
            </w:r>
            <w:r w:rsidRPr="000860E3">
              <w:rPr>
                <w:lang w:val="en-GB"/>
              </w:rPr>
              <w:t xml:space="preserve">:  </w:t>
            </w:r>
          </w:p>
          <w:p w14:paraId="1030FBBD" w14:textId="75C08835" w:rsidR="0062282F" w:rsidRPr="000860E3" w:rsidRDefault="0062282F" w:rsidP="006E7E70">
            <w:pPr>
              <w:pStyle w:val="ListParagraph"/>
              <w:numPr>
                <w:ilvl w:val="0"/>
                <w:numId w:val="5"/>
              </w:numPr>
              <w:jc w:val="both"/>
              <w:rPr>
                <w:lang w:val="en-GB"/>
              </w:rPr>
            </w:pPr>
            <w:r w:rsidRPr="000860E3">
              <w:rPr>
                <w:lang w:val="en-GB"/>
              </w:rPr>
              <w:t xml:space="preserve">How to </w:t>
            </w:r>
            <w:r w:rsidR="00AC536F" w:rsidRPr="000860E3">
              <w:rPr>
                <w:lang w:val="en-GB"/>
              </w:rPr>
              <w:t xml:space="preserve">mitigate </w:t>
            </w:r>
            <w:r w:rsidRPr="000860E3">
              <w:rPr>
                <w:lang w:val="en-GB"/>
              </w:rPr>
              <w:t>the negative impact of as-is data on measured implementation performance through DSi2.X indicators (data conformity)</w:t>
            </w:r>
            <w:r w:rsidR="00AC536F" w:rsidRPr="000860E3">
              <w:rPr>
                <w:lang w:val="en-GB"/>
              </w:rPr>
              <w:t>?</w:t>
            </w:r>
            <w:r w:rsidRPr="000860E3">
              <w:rPr>
                <w:lang w:val="en-GB"/>
              </w:rPr>
              <w:t xml:space="preserve"> </w:t>
            </w:r>
          </w:p>
          <w:p w14:paraId="61191C64" w14:textId="6F742326" w:rsidR="00F46597" w:rsidRPr="000860E3" w:rsidRDefault="00F46597" w:rsidP="00F46597">
            <w:pPr>
              <w:jc w:val="both"/>
              <w:rPr>
                <w:lang w:val="en-GB"/>
              </w:rPr>
            </w:pPr>
            <w:r w:rsidRPr="000860E3">
              <w:rPr>
                <w:lang w:val="en-GB"/>
              </w:rPr>
              <w:t>The outcomes of the workshop will be used to define an agreed approach for the calculation of the DSi2.x indicators while ensuring that all available data (harmonized and as-is) are made available within the INSPIRE infrastructure.</w:t>
            </w:r>
          </w:p>
        </w:tc>
      </w:tr>
    </w:tbl>
    <w:p w14:paraId="701A2F51" w14:textId="2162D056" w:rsidR="0062282F" w:rsidRPr="000860E3" w:rsidRDefault="0062282F" w:rsidP="0062282F">
      <w:pPr>
        <w:pStyle w:val="Heading1"/>
        <w:rPr>
          <w:lang w:val="en-GB"/>
        </w:rPr>
      </w:pPr>
      <w:bookmarkStart w:id="3" w:name="_Toc77000114"/>
      <w:r w:rsidRPr="000860E3">
        <w:rPr>
          <w:lang w:val="en-GB"/>
        </w:rPr>
        <w:lastRenderedPageBreak/>
        <w:t>Workshop survey</w:t>
      </w:r>
      <w:bookmarkEnd w:id="3"/>
    </w:p>
    <w:p w14:paraId="2816E3D2" w14:textId="45A54042" w:rsidR="00786D6C" w:rsidRPr="000860E3" w:rsidRDefault="00786D6C" w:rsidP="006E7E70">
      <w:pPr>
        <w:pStyle w:val="ListParagraph"/>
        <w:numPr>
          <w:ilvl w:val="0"/>
          <w:numId w:val="6"/>
        </w:numPr>
        <w:rPr>
          <w:lang w:val="en-GB"/>
        </w:rPr>
      </w:pPr>
      <w:r w:rsidRPr="000860E3">
        <w:rPr>
          <w:lang w:val="en-GB"/>
        </w:rPr>
        <w:t xml:space="preserve">What is your country of origin? </w:t>
      </w:r>
    </w:p>
    <w:p w14:paraId="6278081E" w14:textId="4354D25C" w:rsidR="00FB7F6D" w:rsidRPr="000860E3" w:rsidRDefault="00FB7F6D" w:rsidP="006E7E70">
      <w:pPr>
        <w:pStyle w:val="ListParagraph"/>
        <w:numPr>
          <w:ilvl w:val="0"/>
          <w:numId w:val="6"/>
        </w:numPr>
        <w:rPr>
          <w:lang w:val="en-GB"/>
        </w:rPr>
      </w:pPr>
      <w:r w:rsidRPr="000860E3">
        <w:rPr>
          <w:lang w:val="en-GB"/>
        </w:rPr>
        <w:t xml:space="preserve">Does the </w:t>
      </w:r>
      <w:r w:rsidR="00F71E8A" w:rsidRPr="000860E3">
        <w:rPr>
          <w:lang w:val="en-GB"/>
        </w:rPr>
        <w:t>presence of both as-is and harmonized data negatively impact the INSPIRE indicator for data conformance (DSi2.x family of indicators) in your country?</w:t>
      </w:r>
    </w:p>
    <w:p w14:paraId="7F7BEE79" w14:textId="1926A63B" w:rsidR="00D80689" w:rsidRPr="000860E3" w:rsidRDefault="00D80689" w:rsidP="00D80689">
      <w:pPr>
        <w:pStyle w:val="ListParagraph"/>
        <w:rPr>
          <w:lang w:val="en-GB"/>
        </w:rPr>
      </w:pPr>
      <w:r w:rsidRPr="000860E3">
        <w:rPr>
          <w:lang w:val="en-GB"/>
        </w:rPr>
        <w:t>Yes / No</w:t>
      </w:r>
    </w:p>
    <w:p w14:paraId="1FD749AF" w14:textId="086F8405" w:rsidR="00D80689" w:rsidRPr="000860E3" w:rsidRDefault="00D80689" w:rsidP="006E7E70">
      <w:pPr>
        <w:pStyle w:val="ListParagraph"/>
        <w:numPr>
          <w:ilvl w:val="0"/>
          <w:numId w:val="6"/>
        </w:numPr>
        <w:rPr>
          <w:lang w:val="en-GB"/>
        </w:rPr>
      </w:pPr>
      <w:r w:rsidRPr="000860E3">
        <w:rPr>
          <w:lang w:val="en-GB"/>
        </w:rPr>
        <w:t>Are you planning on limiting your INSPIRE offering to prioritised data sets only?</w:t>
      </w:r>
    </w:p>
    <w:p w14:paraId="6E2D4327" w14:textId="13E2778F" w:rsidR="00D80689" w:rsidRPr="000860E3" w:rsidRDefault="00D80689" w:rsidP="00D80689">
      <w:pPr>
        <w:pStyle w:val="ListParagraph"/>
        <w:rPr>
          <w:lang w:val="en-GB"/>
        </w:rPr>
      </w:pPr>
      <w:r w:rsidRPr="000860E3">
        <w:rPr>
          <w:lang w:val="en-GB"/>
        </w:rPr>
        <w:t>Yes/No</w:t>
      </w:r>
    </w:p>
    <w:p w14:paraId="2E3486A8" w14:textId="72E8F5DE" w:rsidR="00D80689" w:rsidRPr="000860E3" w:rsidRDefault="00F71E8A" w:rsidP="006E7E70">
      <w:pPr>
        <w:pStyle w:val="ListParagraph"/>
        <w:numPr>
          <w:ilvl w:val="0"/>
          <w:numId w:val="6"/>
        </w:numPr>
        <w:rPr>
          <w:lang w:val="en-GB"/>
        </w:rPr>
      </w:pPr>
      <w:r w:rsidRPr="000860E3">
        <w:rPr>
          <w:lang w:val="en-GB"/>
        </w:rPr>
        <w:t xml:space="preserve">Are you planning on </w:t>
      </w:r>
      <w:r w:rsidR="00D80689" w:rsidRPr="000860E3">
        <w:rPr>
          <w:lang w:val="en-GB"/>
        </w:rPr>
        <w:t>limiting your INSPIRE offering to harmonized data sets only?</w:t>
      </w:r>
    </w:p>
    <w:p w14:paraId="23F582A7" w14:textId="1077511D" w:rsidR="00D80689" w:rsidRPr="000860E3" w:rsidRDefault="00D80689" w:rsidP="00D80689">
      <w:pPr>
        <w:pStyle w:val="ListParagraph"/>
        <w:rPr>
          <w:lang w:val="en-GB"/>
        </w:rPr>
      </w:pPr>
      <w:r w:rsidRPr="000860E3">
        <w:rPr>
          <w:lang w:val="en-GB"/>
        </w:rPr>
        <w:t>Yes/No</w:t>
      </w:r>
    </w:p>
    <w:p w14:paraId="4FB97AF6" w14:textId="77777777" w:rsidR="00765472" w:rsidRPr="000860E3" w:rsidRDefault="00D80689" w:rsidP="006E7E70">
      <w:pPr>
        <w:pStyle w:val="ListParagraph"/>
        <w:numPr>
          <w:ilvl w:val="0"/>
          <w:numId w:val="6"/>
        </w:numPr>
        <w:rPr>
          <w:lang w:val="en-GB"/>
        </w:rPr>
      </w:pPr>
      <w:r w:rsidRPr="000860E3">
        <w:rPr>
          <w:lang w:val="en-GB"/>
        </w:rPr>
        <w:t xml:space="preserve">Is </w:t>
      </w:r>
      <w:r w:rsidR="00765472" w:rsidRPr="000860E3">
        <w:rPr>
          <w:lang w:val="en-GB"/>
        </w:rPr>
        <w:t xml:space="preserve">a low value for the </w:t>
      </w:r>
      <w:r w:rsidRPr="000860E3">
        <w:rPr>
          <w:lang w:val="en-GB"/>
        </w:rPr>
        <w:t xml:space="preserve">DSi2.x </w:t>
      </w:r>
      <w:r w:rsidR="00765472" w:rsidRPr="000860E3">
        <w:rPr>
          <w:lang w:val="en-GB"/>
        </w:rPr>
        <w:t>indicators (conformity of spatial data sets) an important driver for limiting your offering?</w:t>
      </w:r>
    </w:p>
    <w:p w14:paraId="4C6F88E5" w14:textId="5A38F002" w:rsidR="00D80689" w:rsidRPr="000860E3" w:rsidRDefault="00765472" w:rsidP="00765472">
      <w:pPr>
        <w:pStyle w:val="ListParagraph"/>
        <w:rPr>
          <w:lang w:val="en-GB"/>
        </w:rPr>
      </w:pPr>
      <w:r w:rsidRPr="000860E3">
        <w:rPr>
          <w:lang w:val="en-GB"/>
        </w:rPr>
        <w:t>Yes/No</w:t>
      </w:r>
    </w:p>
    <w:p w14:paraId="5D10E452" w14:textId="5750EE92" w:rsidR="00765472" w:rsidRPr="000860E3" w:rsidRDefault="00765472" w:rsidP="006E7E70">
      <w:pPr>
        <w:pStyle w:val="ListParagraph"/>
        <w:numPr>
          <w:ilvl w:val="0"/>
          <w:numId w:val="6"/>
        </w:numPr>
        <w:rPr>
          <w:lang w:val="en-GB"/>
        </w:rPr>
      </w:pPr>
      <w:r w:rsidRPr="000860E3">
        <w:rPr>
          <w:lang w:val="en-GB"/>
        </w:rPr>
        <w:t xml:space="preserve">Would you make more as-is data available if this data would not be included in a data conformity assessment? </w:t>
      </w:r>
    </w:p>
    <w:p w14:paraId="56DD36DF" w14:textId="5789D345" w:rsidR="00765472" w:rsidRPr="000860E3" w:rsidRDefault="00765472" w:rsidP="00765472">
      <w:pPr>
        <w:pStyle w:val="ListParagraph"/>
        <w:rPr>
          <w:lang w:val="en-GB"/>
        </w:rPr>
      </w:pPr>
      <w:r w:rsidRPr="000860E3">
        <w:rPr>
          <w:lang w:val="en-GB"/>
        </w:rPr>
        <w:t>Yes/No</w:t>
      </w:r>
    </w:p>
    <w:p w14:paraId="40B8743F" w14:textId="19D57827" w:rsidR="00B01088" w:rsidRPr="000860E3" w:rsidRDefault="00765472" w:rsidP="006E7E70">
      <w:pPr>
        <w:pStyle w:val="ListParagraph"/>
        <w:numPr>
          <w:ilvl w:val="0"/>
          <w:numId w:val="6"/>
        </w:numPr>
        <w:rPr>
          <w:lang w:val="en-GB"/>
        </w:rPr>
      </w:pPr>
      <w:r w:rsidRPr="000860E3">
        <w:rPr>
          <w:lang w:val="en-GB"/>
        </w:rPr>
        <w:t xml:space="preserve">Would you support </w:t>
      </w:r>
      <w:r w:rsidR="00B01088" w:rsidRPr="000860E3">
        <w:rPr>
          <w:lang w:val="en-GB"/>
        </w:rPr>
        <w:t xml:space="preserve">limiting data harmonisation efforts to </w:t>
      </w:r>
      <w:r w:rsidR="00541232" w:rsidRPr="000860E3">
        <w:rPr>
          <w:lang w:val="en-GB"/>
        </w:rPr>
        <w:t xml:space="preserve">clearly identified </w:t>
      </w:r>
      <w:r w:rsidR="00B01088" w:rsidRPr="000860E3">
        <w:rPr>
          <w:lang w:val="en-GB"/>
        </w:rPr>
        <w:t xml:space="preserve">and prioritised </w:t>
      </w:r>
      <w:r w:rsidR="00AC536F" w:rsidRPr="000860E3">
        <w:rPr>
          <w:lang w:val="en-GB"/>
        </w:rPr>
        <w:t xml:space="preserve">as-is </w:t>
      </w:r>
      <w:r w:rsidR="00B01088" w:rsidRPr="000860E3">
        <w:rPr>
          <w:lang w:val="en-GB"/>
        </w:rPr>
        <w:t xml:space="preserve">data sets (to be further developed under MIWP </w:t>
      </w:r>
      <w:r w:rsidR="00E41D67" w:rsidRPr="000860E3">
        <w:rPr>
          <w:lang w:val="en-GB"/>
        </w:rPr>
        <w:t xml:space="preserve">Actions </w:t>
      </w:r>
      <w:r w:rsidR="00B01088" w:rsidRPr="000860E3">
        <w:rPr>
          <w:lang w:val="en-GB"/>
        </w:rPr>
        <w:t>2.1 and 2.2)?</w:t>
      </w:r>
    </w:p>
    <w:p w14:paraId="5043EE9C" w14:textId="169A91DE" w:rsidR="00B01088" w:rsidRPr="000860E3" w:rsidRDefault="00B01088" w:rsidP="00B01088">
      <w:pPr>
        <w:pStyle w:val="ListParagraph"/>
        <w:rPr>
          <w:lang w:val="en-GB"/>
        </w:rPr>
      </w:pPr>
      <w:r w:rsidRPr="000860E3">
        <w:rPr>
          <w:lang w:val="en-GB"/>
        </w:rPr>
        <w:t xml:space="preserve">Yes/No </w:t>
      </w:r>
    </w:p>
    <w:p w14:paraId="7B2D915D" w14:textId="7111EBCF" w:rsidR="001B5170" w:rsidRPr="000860E3" w:rsidRDefault="001B5170" w:rsidP="006E7E70">
      <w:pPr>
        <w:pStyle w:val="ListParagraph"/>
        <w:numPr>
          <w:ilvl w:val="0"/>
          <w:numId w:val="6"/>
        </w:numPr>
        <w:rPr>
          <w:lang w:val="en-GB"/>
        </w:rPr>
      </w:pPr>
      <w:r w:rsidRPr="000860E3">
        <w:rPr>
          <w:lang w:val="en-GB"/>
        </w:rPr>
        <w:t>Would you support using the priority data set metadata keyword to select data sets for future calculation of DSi2.x indicators?</w:t>
      </w:r>
    </w:p>
    <w:p w14:paraId="38CC88B5" w14:textId="79840C96" w:rsidR="001B5170" w:rsidRPr="000860E3" w:rsidRDefault="001B5170" w:rsidP="001B5170">
      <w:pPr>
        <w:pStyle w:val="ListParagraph"/>
        <w:rPr>
          <w:lang w:val="en-GB"/>
        </w:rPr>
      </w:pPr>
      <w:r w:rsidRPr="000860E3">
        <w:rPr>
          <w:lang w:val="en-GB"/>
        </w:rPr>
        <w:t>Yes/No</w:t>
      </w:r>
    </w:p>
    <w:p w14:paraId="783FF26C" w14:textId="4D8DAF24" w:rsidR="001B5170" w:rsidRPr="000860E3" w:rsidRDefault="001B5170" w:rsidP="006E7E70">
      <w:pPr>
        <w:pStyle w:val="ListParagraph"/>
        <w:numPr>
          <w:ilvl w:val="0"/>
          <w:numId w:val="6"/>
        </w:numPr>
        <w:rPr>
          <w:lang w:val="en-GB"/>
        </w:rPr>
      </w:pPr>
      <w:r w:rsidRPr="000860E3">
        <w:rPr>
          <w:lang w:val="en-GB"/>
        </w:rPr>
        <w:t>Would you support describing as-is and harmonized versions of a spatial data set through a single metadata record?</w:t>
      </w:r>
    </w:p>
    <w:p w14:paraId="41F7515F" w14:textId="77777777" w:rsidR="00E92F81" w:rsidRPr="000860E3" w:rsidRDefault="001B5170" w:rsidP="001B5170">
      <w:pPr>
        <w:pStyle w:val="ListParagraph"/>
        <w:rPr>
          <w:lang w:val="en-GB"/>
        </w:rPr>
      </w:pPr>
      <w:r w:rsidRPr="000860E3">
        <w:rPr>
          <w:lang w:val="en-GB"/>
        </w:rPr>
        <w:t>Yes /No</w:t>
      </w:r>
    </w:p>
    <w:p w14:paraId="0B1F72B3" w14:textId="77777777" w:rsidR="00E92F81" w:rsidRPr="000860E3" w:rsidRDefault="00E92F81" w:rsidP="006E7E70">
      <w:pPr>
        <w:pStyle w:val="ListParagraph"/>
        <w:numPr>
          <w:ilvl w:val="0"/>
          <w:numId w:val="6"/>
        </w:numPr>
        <w:rPr>
          <w:lang w:val="en-GB"/>
        </w:rPr>
      </w:pPr>
      <w:r w:rsidRPr="000860E3">
        <w:rPr>
          <w:lang w:val="en-GB"/>
        </w:rPr>
        <w:t>Are there any other monitoring conformity indicators that clearly have a repercussion on the data sets made available and accessible in the INSPIRE infrastructure?</w:t>
      </w:r>
    </w:p>
    <w:p w14:paraId="51E5F4AE" w14:textId="26F469F1" w:rsidR="00B01088" w:rsidRPr="000860E3" w:rsidRDefault="00E92F81" w:rsidP="00E92F81">
      <w:pPr>
        <w:pStyle w:val="ListParagraph"/>
        <w:rPr>
          <w:lang w:val="en-GB"/>
        </w:rPr>
      </w:pPr>
      <w:r w:rsidRPr="000860E3">
        <w:rPr>
          <w:lang w:val="en-GB"/>
        </w:rPr>
        <w:t xml:space="preserve">Yes/No (in case “Yes”, which ones). </w:t>
      </w:r>
      <w:r w:rsidR="001B5170" w:rsidRPr="000860E3">
        <w:rPr>
          <w:lang w:val="en-GB"/>
        </w:rPr>
        <w:t xml:space="preserve"> </w:t>
      </w:r>
    </w:p>
    <w:p w14:paraId="4A7A8B0C" w14:textId="42779229" w:rsidR="00786D6C" w:rsidRPr="000860E3" w:rsidRDefault="00786D6C" w:rsidP="006E7E70">
      <w:pPr>
        <w:pStyle w:val="ListParagraph"/>
        <w:numPr>
          <w:ilvl w:val="0"/>
          <w:numId w:val="6"/>
        </w:numPr>
        <w:rPr>
          <w:lang w:val="en-GB"/>
        </w:rPr>
      </w:pPr>
      <w:r w:rsidRPr="000860E3">
        <w:rPr>
          <w:lang w:val="en-GB"/>
        </w:rPr>
        <w:t>INSPIRE metadata already allows to declare conformity to different specifications. Would you support the possibility of optionally declaring conformity to all applicable specifications in metadata e.g. conform</w:t>
      </w:r>
      <w:r w:rsidR="003C61CD" w:rsidRPr="000860E3">
        <w:rPr>
          <w:lang w:val="en-GB"/>
        </w:rPr>
        <w:t>ity</w:t>
      </w:r>
      <w:r w:rsidRPr="000860E3">
        <w:rPr>
          <w:lang w:val="en-GB"/>
        </w:rPr>
        <w:t xml:space="preserve"> with</w:t>
      </w:r>
      <w:r w:rsidR="003C61CD" w:rsidRPr="000860E3">
        <w:rPr>
          <w:lang w:val="en-GB"/>
        </w:rPr>
        <w:t>:</w:t>
      </w:r>
      <w:r w:rsidRPr="000860E3">
        <w:rPr>
          <w:lang w:val="en-GB"/>
        </w:rPr>
        <w:t xml:space="preserve"> national specifications </w:t>
      </w:r>
      <w:r w:rsidR="003C61CD" w:rsidRPr="000860E3">
        <w:rPr>
          <w:lang w:val="en-GB"/>
        </w:rPr>
        <w:t xml:space="preserve">/ </w:t>
      </w:r>
      <w:r w:rsidRPr="000860E3">
        <w:rPr>
          <w:lang w:val="en-GB"/>
        </w:rPr>
        <w:t>INSPIRE theme</w:t>
      </w:r>
      <w:r w:rsidR="003C61CD" w:rsidRPr="000860E3">
        <w:rPr>
          <w:lang w:val="en-GB"/>
        </w:rPr>
        <w:t xml:space="preserve"> /</w:t>
      </w:r>
      <w:r w:rsidRPr="000860E3">
        <w:rPr>
          <w:lang w:val="en-GB"/>
        </w:rPr>
        <w:t xml:space="preserve"> </w:t>
      </w:r>
      <w:r w:rsidR="003C61CD" w:rsidRPr="000860E3">
        <w:rPr>
          <w:lang w:val="en-GB"/>
        </w:rPr>
        <w:t xml:space="preserve">EU </w:t>
      </w:r>
      <w:r w:rsidRPr="000860E3">
        <w:rPr>
          <w:lang w:val="en-GB"/>
        </w:rPr>
        <w:t>reporting data flow</w:t>
      </w:r>
      <w:r w:rsidR="003C61CD" w:rsidRPr="000860E3">
        <w:rPr>
          <w:lang w:val="en-GB"/>
        </w:rPr>
        <w:t>?</w:t>
      </w:r>
    </w:p>
    <w:p w14:paraId="002F001F" w14:textId="5CFE3E91" w:rsidR="003C61CD" w:rsidRPr="000860E3" w:rsidRDefault="003C61CD" w:rsidP="003C61CD">
      <w:pPr>
        <w:pStyle w:val="ListParagraph"/>
        <w:rPr>
          <w:lang w:val="en-GB"/>
        </w:rPr>
      </w:pPr>
      <w:r w:rsidRPr="000860E3">
        <w:rPr>
          <w:lang w:val="en-GB"/>
        </w:rPr>
        <w:t>Yes/No</w:t>
      </w:r>
    </w:p>
    <w:p w14:paraId="43E6D5B8" w14:textId="77777777" w:rsidR="00461787" w:rsidRPr="000860E3" w:rsidRDefault="00E92F81" w:rsidP="00E92F81">
      <w:pPr>
        <w:rPr>
          <w:lang w:val="en-GB"/>
        </w:rPr>
      </w:pPr>
      <w:r w:rsidRPr="000860E3">
        <w:rPr>
          <w:lang w:val="en-GB"/>
        </w:rPr>
        <w:t xml:space="preserve">This survey is accessible </w:t>
      </w:r>
      <w:r w:rsidR="00461787" w:rsidRPr="000860E3">
        <w:rPr>
          <w:lang w:val="en-GB"/>
        </w:rPr>
        <w:t>on</w:t>
      </w:r>
      <w:r w:rsidRPr="000860E3">
        <w:rPr>
          <w:lang w:val="en-GB"/>
        </w:rPr>
        <w:t xml:space="preserve"> EUSurvey</w:t>
      </w:r>
      <w:r w:rsidR="00461787" w:rsidRPr="000860E3">
        <w:rPr>
          <w:lang w:val="en-GB"/>
        </w:rPr>
        <w:t xml:space="preserve">: </w:t>
      </w:r>
      <w:hyperlink r:id="rId11" w:tgtFrame="_blank" w:history="1">
        <w:r w:rsidR="00461787" w:rsidRPr="000860E3">
          <w:rPr>
            <w:rStyle w:val="Hyperlink"/>
            <w:rFonts w:ascii="Helvetica" w:hAnsi="Helvetica" w:cs="Helvetica"/>
            <w:color w:val="23527C"/>
            <w:sz w:val="19"/>
            <w:szCs w:val="19"/>
            <w:shd w:val="clear" w:color="auto" w:fill="F9F9F9"/>
            <w:lang w:val="en-GB"/>
          </w:rPr>
          <w:t>https://ec.europa.eu/eusurvey/runner/13MIG_Workshop_Harmonised_vs_AsIs</w:t>
        </w:r>
      </w:hyperlink>
    </w:p>
    <w:p w14:paraId="2BC271EA" w14:textId="2EEABDD2" w:rsidR="00B01088" w:rsidRPr="000860E3" w:rsidRDefault="00E92F81" w:rsidP="00E92F81">
      <w:pPr>
        <w:rPr>
          <w:b/>
          <w:i/>
          <w:lang w:val="en-GB"/>
        </w:rPr>
      </w:pPr>
      <w:r w:rsidRPr="000860E3">
        <w:rPr>
          <w:b/>
          <w:i/>
          <w:lang w:val="en-GB"/>
        </w:rPr>
        <w:t>You are kindly requested to take the survey in preparation of th</w:t>
      </w:r>
      <w:r w:rsidR="00A75433" w:rsidRPr="000860E3">
        <w:rPr>
          <w:b/>
          <w:i/>
          <w:lang w:val="en-GB"/>
        </w:rPr>
        <w:t xml:space="preserve">is </w:t>
      </w:r>
      <w:r w:rsidRPr="000860E3">
        <w:rPr>
          <w:b/>
          <w:i/>
          <w:lang w:val="en-GB"/>
        </w:rPr>
        <w:t xml:space="preserve">MIG </w:t>
      </w:r>
      <w:r w:rsidR="00A75433" w:rsidRPr="000860E3">
        <w:rPr>
          <w:b/>
          <w:i/>
          <w:lang w:val="en-GB"/>
        </w:rPr>
        <w:t>mini-workshop</w:t>
      </w:r>
      <w:r w:rsidRPr="000860E3">
        <w:rPr>
          <w:b/>
          <w:i/>
          <w:lang w:val="en-GB"/>
        </w:rPr>
        <w:t>. To give the Commission the opportunity to process the survey results as input for the workshop, we would ask you to complete the survey by Wednesday 16 June 1</w:t>
      </w:r>
      <w:r w:rsidR="00461787" w:rsidRPr="000860E3">
        <w:rPr>
          <w:b/>
          <w:i/>
          <w:lang w:val="en-GB"/>
        </w:rPr>
        <w:t>2</w:t>
      </w:r>
      <w:r w:rsidRPr="000860E3">
        <w:rPr>
          <w:b/>
          <w:i/>
          <w:lang w:val="en-GB"/>
        </w:rPr>
        <w:t>:00.</w:t>
      </w:r>
      <w:r w:rsidR="00F46597" w:rsidRPr="000860E3">
        <w:rPr>
          <w:b/>
          <w:i/>
          <w:lang w:val="en-GB"/>
        </w:rPr>
        <w:t xml:space="preserve"> </w:t>
      </w:r>
      <w:r w:rsidRPr="000860E3">
        <w:rPr>
          <w:b/>
          <w:i/>
          <w:lang w:val="en-GB"/>
        </w:rPr>
        <w:t xml:space="preserve">   </w:t>
      </w:r>
    </w:p>
    <w:p w14:paraId="7E7852F8" w14:textId="0FD81C67" w:rsidR="001129AB" w:rsidRPr="000860E3" w:rsidRDefault="00BE469D" w:rsidP="001129AB">
      <w:pPr>
        <w:pStyle w:val="Heading1"/>
        <w:rPr>
          <w:lang w:val="en-GB"/>
        </w:rPr>
      </w:pPr>
      <w:bookmarkStart w:id="4" w:name="_Toc77000115"/>
      <w:r w:rsidRPr="000860E3">
        <w:rPr>
          <w:lang w:val="en-GB"/>
        </w:rPr>
        <w:t>Workshop organisation</w:t>
      </w:r>
      <w:r w:rsidR="001129AB" w:rsidRPr="000860E3">
        <w:rPr>
          <w:lang w:val="en-GB"/>
        </w:rPr>
        <w:t xml:space="preserve"> </w:t>
      </w:r>
      <w:r w:rsidR="00F46597" w:rsidRPr="000860E3">
        <w:rPr>
          <w:lang w:val="en-GB"/>
        </w:rPr>
        <w:t>(75’)</w:t>
      </w:r>
      <w:bookmarkEnd w:id="4"/>
    </w:p>
    <w:p w14:paraId="389F41EF" w14:textId="5F8BA0F8" w:rsidR="001129AB" w:rsidRPr="000860E3" w:rsidRDefault="00786D6C" w:rsidP="00141003">
      <w:pPr>
        <w:rPr>
          <w:lang w:val="en-GB"/>
        </w:rPr>
      </w:pPr>
      <w:r w:rsidRPr="000860E3">
        <w:rPr>
          <w:lang w:val="en-GB"/>
        </w:rPr>
        <w:t>(</w:t>
      </w:r>
      <w:r w:rsidR="001129AB" w:rsidRPr="000860E3">
        <w:rPr>
          <w:lang w:val="en-GB"/>
        </w:rPr>
        <w:t>1</w:t>
      </w:r>
      <w:r w:rsidR="00F46597" w:rsidRPr="000860E3">
        <w:rPr>
          <w:lang w:val="en-GB"/>
        </w:rPr>
        <w:t>5</w:t>
      </w:r>
      <w:r w:rsidR="001129AB" w:rsidRPr="000860E3">
        <w:rPr>
          <w:lang w:val="en-GB"/>
        </w:rPr>
        <w:t>’</w:t>
      </w:r>
      <w:r w:rsidRPr="000860E3">
        <w:rPr>
          <w:lang w:val="en-GB"/>
        </w:rPr>
        <w:t>)</w:t>
      </w:r>
      <w:r w:rsidR="001129AB" w:rsidRPr="000860E3">
        <w:rPr>
          <w:lang w:val="en-GB"/>
        </w:rPr>
        <w:t xml:space="preserve"> Introduction and presentation of survey results </w:t>
      </w:r>
    </w:p>
    <w:p w14:paraId="3B64E29B" w14:textId="169879B1" w:rsidR="001129AB" w:rsidRPr="000860E3" w:rsidRDefault="00786D6C" w:rsidP="00141003">
      <w:pPr>
        <w:rPr>
          <w:lang w:val="en-GB"/>
        </w:rPr>
      </w:pPr>
      <w:r w:rsidRPr="000860E3">
        <w:rPr>
          <w:lang w:val="en-GB"/>
        </w:rPr>
        <w:t>(</w:t>
      </w:r>
      <w:r w:rsidR="00F46597" w:rsidRPr="000860E3">
        <w:rPr>
          <w:lang w:val="en-GB"/>
        </w:rPr>
        <w:t>30</w:t>
      </w:r>
      <w:r w:rsidR="001129AB" w:rsidRPr="000860E3">
        <w:rPr>
          <w:lang w:val="en-GB"/>
        </w:rPr>
        <w:t>’</w:t>
      </w:r>
      <w:r w:rsidRPr="000860E3">
        <w:rPr>
          <w:lang w:val="en-GB"/>
        </w:rPr>
        <w:t>)</w:t>
      </w:r>
      <w:r w:rsidR="001129AB" w:rsidRPr="000860E3">
        <w:rPr>
          <w:lang w:val="en-GB"/>
        </w:rPr>
        <w:t xml:space="preserve"> Split into 3 breakout groups to discuss the survey results and proposals for possible solutions</w:t>
      </w:r>
    </w:p>
    <w:p w14:paraId="6295222E" w14:textId="3614F362" w:rsidR="001129AB" w:rsidRPr="000860E3" w:rsidRDefault="00786D6C" w:rsidP="00141003">
      <w:pPr>
        <w:rPr>
          <w:lang w:val="en-GB"/>
        </w:rPr>
      </w:pPr>
      <w:r w:rsidRPr="000860E3">
        <w:rPr>
          <w:lang w:val="en-GB"/>
        </w:rPr>
        <w:t>(</w:t>
      </w:r>
      <w:r w:rsidR="00F46597" w:rsidRPr="000860E3">
        <w:rPr>
          <w:lang w:val="en-GB"/>
        </w:rPr>
        <w:t>20</w:t>
      </w:r>
      <w:r w:rsidR="001129AB" w:rsidRPr="000860E3">
        <w:rPr>
          <w:lang w:val="en-GB"/>
        </w:rPr>
        <w:t>’</w:t>
      </w:r>
      <w:r w:rsidRPr="000860E3">
        <w:rPr>
          <w:lang w:val="en-GB"/>
        </w:rPr>
        <w:t>)</w:t>
      </w:r>
      <w:r w:rsidR="001129AB" w:rsidRPr="000860E3">
        <w:rPr>
          <w:lang w:val="en-GB"/>
        </w:rPr>
        <w:t xml:space="preserve"> Report back from break-out groups </w:t>
      </w:r>
      <w:r w:rsidRPr="000860E3">
        <w:rPr>
          <w:lang w:val="en-GB"/>
        </w:rPr>
        <w:t>+ d</w:t>
      </w:r>
      <w:r w:rsidR="00F46597" w:rsidRPr="000860E3">
        <w:rPr>
          <w:lang w:val="en-GB"/>
        </w:rPr>
        <w:t>iscussion</w:t>
      </w:r>
    </w:p>
    <w:p w14:paraId="1CFF270F" w14:textId="74673DE5" w:rsidR="00667F00" w:rsidRPr="000860E3" w:rsidRDefault="00786D6C" w:rsidP="00141003">
      <w:pPr>
        <w:rPr>
          <w:lang w:val="en-GB"/>
        </w:rPr>
      </w:pPr>
      <w:r w:rsidRPr="000860E3">
        <w:rPr>
          <w:lang w:val="en-GB"/>
        </w:rPr>
        <w:t>(</w:t>
      </w:r>
      <w:r w:rsidR="00F46597" w:rsidRPr="000860E3">
        <w:rPr>
          <w:lang w:val="en-GB"/>
        </w:rPr>
        <w:t>10</w:t>
      </w:r>
      <w:r w:rsidR="001129AB" w:rsidRPr="000860E3">
        <w:rPr>
          <w:lang w:val="en-GB"/>
        </w:rPr>
        <w:t>’</w:t>
      </w:r>
      <w:r w:rsidRPr="000860E3">
        <w:rPr>
          <w:lang w:val="en-GB"/>
        </w:rPr>
        <w:t>)</w:t>
      </w:r>
      <w:r w:rsidR="001129AB" w:rsidRPr="000860E3">
        <w:rPr>
          <w:lang w:val="en-GB"/>
        </w:rPr>
        <w:t xml:space="preserve"> Conclusions </w:t>
      </w:r>
    </w:p>
    <w:p w14:paraId="735C50D9" w14:textId="77777777" w:rsidR="00667F00" w:rsidRPr="000860E3" w:rsidRDefault="00667F00" w:rsidP="00667F00">
      <w:pPr>
        <w:pStyle w:val="Heading1"/>
        <w:rPr>
          <w:lang w:val="en-GB"/>
        </w:rPr>
      </w:pPr>
      <w:bookmarkStart w:id="5" w:name="_Toc76398864"/>
      <w:bookmarkStart w:id="6" w:name="_Toc77000116"/>
      <w:r w:rsidRPr="000860E3">
        <w:rPr>
          <w:lang w:val="en-GB"/>
        </w:rPr>
        <w:lastRenderedPageBreak/>
        <w:t>Workshop proceedings</w:t>
      </w:r>
      <w:bookmarkEnd w:id="5"/>
      <w:bookmarkEnd w:id="6"/>
    </w:p>
    <w:p w14:paraId="37967A49" w14:textId="77777777" w:rsidR="00667F00" w:rsidRPr="000860E3" w:rsidRDefault="00667F00" w:rsidP="00667F00">
      <w:pPr>
        <w:pStyle w:val="Heading2"/>
        <w:rPr>
          <w:lang w:val="en-GB"/>
        </w:rPr>
      </w:pPr>
      <w:bookmarkStart w:id="7" w:name="_Toc76398865"/>
      <w:bookmarkStart w:id="8" w:name="_Toc77000117"/>
      <w:r w:rsidRPr="000860E3">
        <w:rPr>
          <w:lang w:val="en-GB"/>
        </w:rPr>
        <w:t>Survey Results</w:t>
      </w:r>
      <w:bookmarkEnd w:id="7"/>
      <w:bookmarkEnd w:id="8"/>
    </w:p>
    <w:p w14:paraId="37BE6304" w14:textId="2EF94B1C" w:rsidR="00667F00" w:rsidRPr="000860E3" w:rsidRDefault="00C50B6D" w:rsidP="00C50B6D">
      <w:pPr>
        <w:rPr>
          <w:lang w:val="en-GB"/>
        </w:rPr>
      </w:pPr>
      <w:r w:rsidRPr="000860E3">
        <w:rPr>
          <w:lang w:val="en-GB"/>
        </w:rPr>
        <w:t xml:space="preserve">On 5 July 2021, 21 experts from 20 countries had participated in the </w:t>
      </w:r>
      <w:r w:rsidR="003E2939">
        <w:rPr>
          <w:lang w:val="en-GB"/>
        </w:rPr>
        <w:t xml:space="preserve">online </w:t>
      </w:r>
      <w:r w:rsidRPr="000860E3">
        <w:rPr>
          <w:lang w:val="en-GB"/>
        </w:rPr>
        <w:t>survey: Austria, Belgium (x2), Croatia, Czechia, Denmark, Estonia, France, Germany, Greece, Hungary, Liechtenstein, Luxembourg, Netherlands, Norway, Poland, Portugal, Slovak Republic, Slovenia, Spain, Sweden.</w:t>
      </w:r>
    </w:p>
    <w:p w14:paraId="50EB02DD" w14:textId="0F2AF075" w:rsidR="00C50B6D" w:rsidRPr="000860E3" w:rsidRDefault="00C50B6D" w:rsidP="00C50B6D">
      <w:pPr>
        <w:rPr>
          <w:lang w:val="en-GB"/>
        </w:rPr>
      </w:pPr>
      <w:r w:rsidRPr="000860E3">
        <w:rPr>
          <w:noProof/>
          <w:lang w:val="en-GB" w:eastAsia="en-GB"/>
        </w:rPr>
        <w:drawing>
          <wp:inline distT="0" distB="0" distL="0" distR="0" wp14:anchorId="5560656C" wp14:editId="71B77421">
            <wp:extent cx="5918200" cy="2216150"/>
            <wp:effectExtent l="0" t="0" r="635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C51313" w14:textId="121E4145" w:rsidR="00C50B6D" w:rsidRPr="000860E3" w:rsidRDefault="00C50B6D" w:rsidP="00C50B6D">
      <w:pPr>
        <w:rPr>
          <w:lang w:val="en-GB"/>
        </w:rPr>
      </w:pPr>
      <w:r w:rsidRPr="000860E3">
        <w:rPr>
          <w:noProof/>
          <w:lang w:val="en-GB" w:eastAsia="en-GB"/>
        </w:rPr>
        <w:drawing>
          <wp:inline distT="0" distB="0" distL="0" distR="0" wp14:anchorId="27937610" wp14:editId="4E6DD7E0">
            <wp:extent cx="5918200" cy="2095500"/>
            <wp:effectExtent l="0" t="0" r="63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ADB4007" w14:textId="4C76390F" w:rsidR="00C50B6D" w:rsidRPr="000860E3" w:rsidRDefault="00C50B6D" w:rsidP="00C50B6D">
      <w:pPr>
        <w:rPr>
          <w:lang w:val="en-GB"/>
        </w:rPr>
      </w:pPr>
      <w:r w:rsidRPr="000860E3">
        <w:rPr>
          <w:noProof/>
          <w:lang w:val="en-GB" w:eastAsia="en-GB"/>
        </w:rPr>
        <w:drawing>
          <wp:inline distT="0" distB="0" distL="0" distR="0" wp14:anchorId="32F856E7" wp14:editId="3C0B0D04">
            <wp:extent cx="5918200" cy="2393950"/>
            <wp:effectExtent l="0" t="0" r="635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77C7C4" w14:textId="39DC9BAB" w:rsidR="00C50B6D" w:rsidRPr="000860E3" w:rsidRDefault="00C50B6D" w:rsidP="00C50B6D">
      <w:pPr>
        <w:rPr>
          <w:lang w:val="en-GB"/>
        </w:rPr>
      </w:pPr>
    </w:p>
    <w:p w14:paraId="5F4CC4B0" w14:textId="32F6134B" w:rsidR="00C50B6D" w:rsidRPr="000860E3" w:rsidRDefault="00C50B6D" w:rsidP="00C50B6D">
      <w:pPr>
        <w:rPr>
          <w:lang w:val="en-GB"/>
        </w:rPr>
      </w:pPr>
      <w:r w:rsidRPr="000860E3">
        <w:rPr>
          <w:noProof/>
          <w:lang w:val="en-GB" w:eastAsia="en-GB"/>
        </w:rPr>
        <w:lastRenderedPageBreak/>
        <w:drawing>
          <wp:inline distT="0" distB="0" distL="0" distR="0" wp14:anchorId="493CAA15" wp14:editId="44769FF5">
            <wp:extent cx="5937250" cy="2089150"/>
            <wp:effectExtent l="0" t="0" r="635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54EE30A" w14:textId="6FF4A0CB" w:rsidR="00C50B6D" w:rsidRPr="000860E3" w:rsidRDefault="00C50B6D" w:rsidP="00C50B6D">
      <w:pPr>
        <w:rPr>
          <w:lang w:val="en-GB"/>
        </w:rPr>
      </w:pPr>
    </w:p>
    <w:p w14:paraId="16C98FEC" w14:textId="6CAA736D" w:rsidR="00C50B6D" w:rsidRPr="000860E3" w:rsidRDefault="00C50B6D" w:rsidP="00C50B6D">
      <w:pPr>
        <w:rPr>
          <w:lang w:val="en-GB"/>
        </w:rPr>
      </w:pPr>
      <w:r w:rsidRPr="000860E3">
        <w:rPr>
          <w:noProof/>
          <w:lang w:val="en-GB" w:eastAsia="en-GB"/>
        </w:rPr>
        <w:drawing>
          <wp:inline distT="0" distB="0" distL="0" distR="0" wp14:anchorId="2DBBA477" wp14:editId="1C3D41E9">
            <wp:extent cx="5937250" cy="2076450"/>
            <wp:effectExtent l="0" t="0" r="63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1B17B4" w14:textId="071E59F3" w:rsidR="00C50B6D" w:rsidRPr="000860E3" w:rsidRDefault="00C50B6D" w:rsidP="00C50B6D">
      <w:pPr>
        <w:rPr>
          <w:lang w:val="en-GB"/>
        </w:rPr>
      </w:pPr>
    </w:p>
    <w:p w14:paraId="326D7AD9" w14:textId="1E2F0541" w:rsidR="00C50B6D" w:rsidRPr="000860E3" w:rsidRDefault="00C50B6D" w:rsidP="00C50B6D">
      <w:pPr>
        <w:rPr>
          <w:lang w:val="en-GB"/>
        </w:rPr>
      </w:pPr>
      <w:r w:rsidRPr="000860E3">
        <w:rPr>
          <w:noProof/>
          <w:lang w:val="en-GB" w:eastAsia="en-GB"/>
        </w:rPr>
        <w:drawing>
          <wp:inline distT="0" distB="0" distL="0" distR="0" wp14:anchorId="05AAD51B" wp14:editId="3ACEF09C">
            <wp:extent cx="5937250" cy="2235200"/>
            <wp:effectExtent l="0" t="0" r="635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E93ECC" w14:textId="302235F5" w:rsidR="00C50B6D" w:rsidRPr="000860E3" w:rsidRDefault="00C50B6D" w:rsidP="00C50B6D">
      <w:pPr>
        <w:rPr>
          <w:lang w:val="en-GB"/>
        </w:rPr>
      </w:pPr>
    </w:p>
    <w:p w14:paraId="2B7CBEE3" w14:textId="403DC1FB" w:rsidR="00C50B6D" w:rsidRPr="000860E3" w:rsidRDefault="00C50B6D" w:rsidP="00C50B6D">
      <w:pPr>
        <w:rPr>
          <w:lang w:val="en-GB"/>
        </w:rPr>
      </w:pPr>
      <w:r w:rsidRPr="000860E3">
        <w:rPr>
          <w:noProof/>
          <w:lang w:val="en-GB" w:eastAsia="en-GB"/>
        </w:rPr>
        <w:lastRenderedPageBreak/>
        <w:drawing>
          <wp:inline distT="0" distB="0" distL="0" distR="0" wp14:anchorId="2162C143" wp14:editId="4E4D997D">
            <wp:extent cx="5975350" cy="2387600"/>
            <wp:effectExtent l="0" t="0" r="635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4795D3" w14:textId="4198F3CC" w:rsidR="00C50B6D" w:rsidRPr="000860E3" w:rsidRDefault="00C50B6D" w:rsidP="00C50B6D">
      <w:pPr>
        <w:rPr>
          <w:lang w:val="en-GB"/>
        </w:rPr>
      </w:pPr>
    </w:p>
    <w:p w14:paraId="23CDA29E" w14:textId="1A62DA6A" w:rsidR="00C50B6D" w:rsidRPr="000860E3" w:rsidRDefault="00C50B6D" w:rsidP="00C50B6D">
      <w:pPr>
        <w:rPr>
          <w:lang w:val="en-GB"/>
        </w:rPr>
      </w:pPr>
      <w:r w:rsidRPr="000860E3">
        <w:rPr>
          <w:noProof/>
          <w:lang w:val="en-GB" w:eastAsia="en-GB"/>
        </w:rPr>
        <w:drawing>
          <wp:inline distT="0" distB="0" distL="0" distR="0" wp14:anchorId="51099115" wp14:editId="082EF85B">
            <wp:extent cx="5975350" cy="2260600"/>
            <wp:effectExtent l="0" t="0" r="6350" b="63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D61C343" w14:textId="368F9DCF" w:rsidR="00C50B6D" w:rsidRPr="000860E3" w:rsidRDefault="00C50B6D" w:rsidP="00C50B6D">
      <w:pPr>
        <w:rPr>
          <w:lang w:val="en-GB"/>
        </w:rPr>
      </w:pPr>
    </w:p>
    <w:p w14:paraId="3EA5EBC9" w14:textId="0E8BE35A" w:rsidR="00C50B6D" w:rsidRPr="000860E3" w:rsidRDefault="00C50B6D" w:rsidP="00C50B6D">
      <w:pPr>
        <w:rPr>
          <w:lang w:val="en-GB"/>
        </w:rPr>
      </w:pPr>
      <w:r w:rsidRPr="000860E3">
        <w:rPr>
          <w:noProof/>
          <w:lang w:val="en-GB" w:eastAsia="en-GB"/>
        </w:rPr>
        <w:drawing>
          <wp:inline distT="0" distB="0" distL="0" distR="0" wp14:anchorId="6713720E" wp14:editId="664745AA">
            <wp:extent cx="5975350" cy="2813050"/>
            <wp:effectExtent l="0" t="0" r="6350"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79DB5DC" w14:textId="26F559F5" w:rsidR="00C50B6D" w:rsidRPr="000860E3" w:rsidRDefault="00C50B6D" w:rsidP="00C50B6D">
      <w:pPr>
        <w:rPr>
          <w:lang w:val="en-GB"/>
        </w:rPr>
      </w:pPr>
    </w:p>
    <w:p w14:paraId="2D88DDC1" w14:textId="2E801A32" w:rsidR="00C50B6D" w:rsidRPr="000860E3" w:rsidRDefault="00C50B6D" w:rsidP="00C50B6D">
      <w:pPr>
        <w:rPr>
          <w:lang w:val="en-GB"/>
        </w:rPr>
      </w:pPr>
      <w:r w:rsidRPr="000860E3">
        <w:rPr>
          <w:noProof/>
          <w:lang w:val="en-GB" w:eastAsia="en-GB"/>
        </w:rPr>
        <w:lastRenderedPageBreak/>
        <w:drawing>
          <wp:inline distT="0" distB="0" distL="0" distR="0" wp14:anchorId="341F646B" wp14:editId="7D781983">
            <wp:extent cx="5880100" cy="2686050"/>
            <wp:effectExtent l="0" t="0" r="63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379B866" w14:textId="244BCE15" w:rsidR="00C50B6D" w:rsidRPr="000860E3" w:rsidRDefault="00C50B6D" w:rsidP="00C50B6D">
      <w:pPr>
        <w:rPr>
          <w:lang w:val="en-GB"/>
        </w:rPr>
      </w:pPr>
    </w:p>
    <w:p w14:paraId="0B2DD2B3" w14:textId="20F78151" w:rsidR="00C50B6D" w:rsidRPr="000860E3" w:rsidRDefault="00C50B6D" w:rsidP="00C50B6D">
      <w:pPr>
        <w:rPr>
          <w:lang w:val="en-GB"/>
        </w:rPr>
      </w:pPr>
      <w:r w:rsidRPr="000860E3">
        <w:rPr>
          <w:noProof/>
          <w:lang w:val="en-GB" w:eastAsia="en-GB"/>
        </w:rPr>
        <w:drawing>
          <wp:inline distT="0" distB="0" distL="0" distR="0" wp14:anchorId="16BF3328" wp14:editId="4CD785AB">
            <wp:extent cx="5220000" cy="17957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851" t="-1" r="4432" b="41029"/>
                    <a:stretch/>
                  </pic:blipFill>
                  <pic:spPr bwMode="auto">
                    <a:xfrm>
                      <a:off x="0" y="0"/>
                      <a:ext cx="5257446" cy="1808626"/>
                    </a:xfrm>
                    <a:prstGeom prst="rect">
                      <a:avLst/>
                    </a:prstGeom>
                    <a:ln>
                      <a:noFill/>
                    </a:ln>
                    <a:extLst>
                      <a:ext uri="{53640926-AAD7-44D8-BBD7-CCE9431645EC}">
                        <a14:shadowObscured xmlns:a14="http://schemas.microsoft.com/office/drawing/2010/main"/>
                      </a:ext>
                    </a:extLst>
                  </pic:spPr>
                </pic:pic>
              </a:graphicData>
            </a:graphic>
          </wp:inline>
        </w:drawing>
      </w:r>
    </w:p>
    <w:p w14:paraId="5228D133" w14:textId="0BE2DA3A" w:rsidR="000860E3" w:rsidRPr="000860E3" w:rsidRDefault="000860E3" w:rsidP="000860E3">
      <w:pPr>
        <w:pStyle w:val="Heading2"/>
        <w:rPr>
          <w:lang w:val="en-GB"/>
        </w:rPr>
      </w:pPr>
      <w:bookmarkStart w:id="9" w:name="_Toc77000118"/>
      <w:r w:rsidRPr="000860E3">
        <w:rPr>
          <w:lang w:val="en-GB"/>
        </w:rPr>
        <w:t>Survey conclusions</w:t>
      </w:r>
      <w:bookmarkEnd w:id="9"/>
    </w:p>
    <w:p w14:paraId="7A0FF39B" w14:textId="6D6A77C2" w:rsidR="00A92A2C" w:rsidRPr="000860E3" w:rsidRDefault="003A2E38" w:rsidP="000860E3">
      <w:pPr>
        <w:numPr>
          <w:ilvl w:val="0"/>
          <w:numId w:val="8"/>
        </w:numPr>
        <w:rPr>
          <w:lang w:val="en-GB"/>
        </w:rPr>
      </w:pPr>
      <w:r w:rsidRPr="000860E3">
        <w:rPr>
          <w:lang w:val="en-GB"/>
        </w:rPr>
        <w:t>Presence of both non-harmonised and harmonised data does impact the data conformity indicator negatively in most countries</w:t>
      </w:r>
      <w:r w:rsidR="000860E3" w:rsidRPr="000860E3">
        <w:rPr>
          <w:lang w:val="en-GB"/>
        </w:rPr>
        <w:t>.</w:t>
      </w:r>
    </w:p>
    <w:p w14:paraId="510187A8" w14:textId="1A6C509D" w:rsidR="00A92A2C" w:rsidRPr="000860E3" w:rsidRDefault="003A2E38" w:rsidP="000860E3">
      <w:pPr>
        <w:numPr>
          <w:ilvl w:val="0"/>
          <w:numId w:val="8"/>
        </w:numPr>
        <w:rPr>
          <w:lang w:val="en-GB"/>
        </w:rPr>
      </w:pPr>
      <w:r w:rsidRPr="000860E3">
        <w:rPr>
          <w:lang w:val="en-GB"/>
        </w:rPr>
        <w:t>25% of the respondents has adapted or is planning to adapt their offering to harmonised/prioritised data sets</w:t>
      </w:r>
      <w:r w:rsidR="000860E3" w:rsidRPr="000860E3">
        <w:rPr>
          <w:lang w:val="en-GB"/>
        </w:rPr>
        <w:t>.</w:t>
      </w:r>
    </w:p>
    <w:p w14:paraId="42BE05BB" w14:textId="260A7CB4" w:rsidR="00A92A2C" w:rsidRPr="000860E3" w:rsidRDefault="003A2E38" w:rsidP="000860E3">
      <w:pPr>
        <w:numPr>
          <w:ilvl w:val="0"/>
          <w:numId w:val="8"/>
        </w:numPr>
        <w:rPr>
          <w:lang w:val="en-GB"/>
        </w:rPr>
      </w:pPr>
      <w:r w:rsidRPr="000860E3">
        <w:rPr>
          <w:lang w:val="en-GB"/>
        </w:rPr>
        <w:t xml:space="preserve"> 50% </w:t>
      </w:r>
      <w:r w:rsidR="000860E3" w:rsidRPr="000860E3">
        <w:rPr>
          <w:lang w:val="en-GB"/>
        </w:rPr>
        <w:t xml:space="preserve">of the respondents </w:t>
      </w:r>
      <w:r w:rsidRPr="000860E3">
        <w:rPr>
          <w:lang w:val="en-GB"/>
        </w:rPr>
        <w:t>would make more non-harmonised data available if this would not impact the data compliance indicator</w:t>
      </w:r>
      <w:r w:rsidR="000860E3">
        <w:rPr>
          <w:lang w:val="en-GB"/>
        </w:rPr>
        <w:t>.</w:t>
      </w:r>
    </w:p>
    <w:p w14:paraId="0EEEBEA3" w14:textId="76F300AF" w:rsidR="00A92A2C" w:rsidRPr="000860E3" w:rsidRDefault="003A2E38" w:rsidP="000860E3">
      <w:pPr>
        <w:numPr>
          <w:ilvl w:val="0"/>
          <w:numId w:val="8"/>
        </w:numPr>
        <w:rPr>
          <w:lang w:val="en-GB"/>
        </w:rPr>
      </w:pPr>
      <w:r w:rsidRPr="000860E3">
        <w:rPr>
          <w:lang w:val="en-GB"/>
        </w:rPr>
        <w:t xml:space="preserve"> 81% of the respondents indicated their support for only harmonising priority data sets</w:t>
      </w:r>
      <w:r w:rsidR="000860E3">
        <w:rPr>
          <w:lang w:val="en-GB"/>
        </w:rPr>
        <w:t>.</w:t>
      </w:r>
    </w:p>
    <w:p w14:paraId="781435AC" w14:textId="390892E8" w:rsidR="00A92A2C" w:rsidRPr="000860E3" w:rsidRDefault="003A2E38" w:rsidP="000860E3">
      <w:pPr>
        <w:numPr>
          <w:ilvl w:val="0"/>
          <w:numId w:val="8"/>
        </w:numPr>
        <w:rPr>
          <w:lang w:val="en-GB"/>
        </w:rPr>
      </w:pPr>
      <w:r w:rsidRPr="000860E3">
        <w:rPr>
          <w:lang w:val="en-GB"/>
        </w:rPr>
        <w:t>19% indicat</w:t>
      </w:r>
      <w:r w:rsidR="003E2939">
        <w:rPr>
          <w:lang w:val="en-GB"/>
        </w:rPr>
        <w:t>ed</w:t>
      </w:r>
      <w:r w:rsidRPr="000860E3">
        <w:rPr>
          <w:lang w:val="en-GB"/>
        </w:rPr>
        <w:t xml:space="preserve"> that network service conformity also impacts data availability</w:t>
      </w:r>
      <w:r w:rsidR="000860E3">
        <w:rPr>
          <w:lang w:val="en-GB"/>
        </w:rPr>
        <w:t>.</w:t>
      </w:r>
    </w:p>
    <w:p w14:paraId="3A5C0C1C" w14:textId="69C6A4BD" w:rsidR="00A92A2C" w:rsidRPr="000860E3" w:rsidRDefault="003A2E38" w:rsidP="000860E3">
      <w:pPr>
        <w:numPr>
          <w:ilvl w:val="0"/>
          <w:numId w:val="8"/>
        </w:numPr>
        <w:rPr>
          <w:lang w:val="en-GB"/>
        </w:rPr>
      </w:pPr>
      <w:r w:rsidRPr="000860E3">
        <w:rPr>
          <w:lang w:val="en-GB"/>
        </w:rPr>
        <w:t>9,5% indicate</w:t>
      </w:r>
      <w:r w:rsidR="003E2939">
        <w:rPr>
          <w:lang w:val="en-GB"/>
        </w:rPr>
        <w:t>d</w:t>
      </w:r>
      <w:r w:rsidRPr="000860E3">
        <w:rPr>
          <w:lang w:val="en-GB"/>
        </w:rPr>
        <w:t xml:space="preserve"> that metadata conformity also impacts data availability</w:t>
      </w:r>
      <w:r w:rsidR="000860E3">
        <w:rPr>
          <w:lang w:val="en-GB"/>
        </w:rPr>
        <w:t>.</w:t>
      </w:r>
    </w:p>
    <w:p w14:paraId="71941D79" w14:textId="757C0560" w:rsidR="00A92A2C" w:rsidRPr="000860E3" w:rsidRDefault="003A2E38" w:rsidP="003B51DB">
      <w:pPr>
        <w:numPr>
          <w:ilvl w:val="0"/>
          <w:numId w:val="9"/>
        </w:numPr>
        <w:rPr>
          <w:lang w:val="en-GB"/>
        </w:rPr>
      </w:pPr>
      <w:r w:rsidRPr="000860E3">
        <w:rPr>
          <w:lang w:val="en-GB"/>
        </w:rPr>
        <w:t xml:space="preserve">66% of the respondents </w:t>
      </w:r>
      <w:r w:rsidR="003E2939">
        <w:rPr>
          <w:lang w:val="en-GB"/>
        </w:rPr>
        <w:t>were</w:t>
      </w:r>
      <w:r w:rsidRPr="000860E3">
        <w:rPr>
          <w:lang w:val="en-GB"/>
        </w:rPr>
        <w:t xml:space="preserve"> in favour of using a metadata keyword to identify data sets for compliance testing</w:t>
      </w:r>
      <w:r w:rsidR="003B51DB">
        <w:rPr>
          <w:lang w:val="en-GB"/>
        </w:rPr>
        <w:t>.</w:t>
      </w:r>
    </w:p>
    <w:p w14:paraId="5A3B91C2" w14:textId="53935A65" w:rsidR="00A92A2C" w:rsidRPr="000860E3" w:rsidRDefault="003A2E38" w:rsidP="003B51DB">
      <w:pPr>
        <w:numPr>
          <w:ilvl w:val="0"/>
          <w:numId w:val="9"/>
        </w:numPr>
        <w:rPr>
          <w:lang w:val="en-GB"/>
        </w:rPr>
      </w:pPr>
      <w:r w:rsidRPr="000860E3">
        <w:rPr>
          <w:lang w:val="en-GB"/>
        </w:rPr>
        <w:t xml:space="preserve">57% </w:t>
      </w:r>
      <w:r w:rsidR="003B51DB">
        <w:rPr>
          <w:lang w:val="en-GB"/>
        </w:rPr>
        <w:t xml:space="preserve">of the respondents expressed the need for </w:t>
      </w:r>
      <w:r w:rsidR="003B51DB" w:rsidRPr="003B51DB">
        <w:rPr>
          <w:lang w:val="en-GB"/>
        </w:rPr>
        <w:t>a mixed approach to the documentation of harmonised and non-harmonised data sets</w:t>
      </w:r>
      <w:r w:rsidR="003B51DB">
        <w:rPr>
          <w:lang w:val="en-GB"/>
        </w:rPr>
        <w:t xml:space="preserve"> in metadata</w:t>
      </w:r>
      <w:r w:rsidR="003B51DB" w:rsidRPr="003B51DB">
        <w:rPr>
          <w:lang w:val="en-GB"/>
        </w:rPr>
        <w:t>.</w:t>
      </w:r>
    </w:p>
    <w:p w14:paraId="3A53A169" w14:textId="291A3277" w:rsidR="00A92A2C" w:rsidRPr="000860E3" w:rsidRDefault="003A2E38" w:rsidP="003B51DB">
      <w:pPr>
        <w:numPr>
          <w:ilvl w:val="0"/>
          <w:numId w:val="9"/>
        </w:numPr>
        <w:rPr>
          <w:lang w:val="en-GB"/>
        </w:rPr>
      </w:pPr>
      <w:r w:rsidRPr="000860E3">
        <w:rPr>
          <w:lang w:val="en-GB"/>
        </w:rPr>
        <w:lastRenderedPageBreak/>
        <w:t>81% would support the possibility of declaring conformity to other specification</w:t>
      </w:r>
      <w:r w:rsidR="003B51DB">
        <w:rPr>
          <w:lang w:val="en-GB"/>
        </w:rPr>
        <w:t>s</w:t>
      </w:r>
      <w:r w:rsidRPr="000860E3">
        <w:rPr>
          <w:lang w:val="en-GB"/>
        </w:rPr>
        <w:t xml:space="preserve"> than INSPIRE</w:t>
      </w:r>
      <w:r w:rsidR="003B51DB">
        <w:rPr>
          <w:lang w:val="en-GB"/>
        </w:rPr>
        <w:t>.</w:t>
      </w:r>
    </w:p>
    <w:p w14:paraId="56F575D8" w14:textId="68B8E8FD" w:rsidR="005D2C09" w:rsidRPr="000860E3" w:rsidRDefault="005D2C09" w:rsidP="005D2C09">
      <w:pPr>
        <w:pStyle w:val="Heading2"/>
        <w:rPr>
          <w:lang w:val="en-GB"/>
        </w:rPr>
      </w:pPr>
      <w:bookmarkStart w:id="10" w:name="_Toc76398866"/>
      <w:bookmarkStart w:id="11" w:name="_Toc77000119"/>
      <w:r w:rsidRPr="000860E3">
        <w:rPr>
          <w:lang w:val="en-GB"/>
        </w:rPr>
        <w:t xml:space="preserve">Break-out </w:t>
      </w:r>
      <w:r w:rsidR="00095EA1">
        <w:rPr>
          <w:lang w:val="en-GB"/>
        </w:rPr>
        <w:t>g</w:t>
      </w:r>
      <w:r w:rsidRPr="000860E3">
        <w:rPr>
          <w:lang w:val="en-GB"/>
        </w:rPr>
        <w:t>roups</w:t>
      </w:r>
      <w:bookmarkEnd w:id="10"/>
      <w:bookmarkEnd w:id="11"/>
    </w:p>
    <w:p w14:paraId="52331DE8" w14:textId="3666F1A4" w:rsidR="00F46CCD" w:rsidRPr="000860E3" w:rsidRDefault="00F46CCD" w:rsidP="00F46CCD">
      <w:pPr>
        <w:pStyle w:val="NormalWeb"/>
        <w:rPr>
          <w:rFonts w:asciiTheme="minorHAnsi" w:hAnsiTheme="minorHAnsi" w:cstheme="minorHAnsi"/>
          <w:sz w:val="22"/>
          <w:szCs w:val="22"/>
        </w:rPr>
      </w:pPr>
      <w:r w:rsidRPr="000860E3">
        <w:rPr>
          <w:rFonts w:asciiTheme="minorHAnsi" w:hAnsiTheme="minorHAnsi" w:cstheme="minorHAnsi"/>
          <w:sz w:val="22"/>
          <w:szCs w:val="22"/>
        </w:rPr>
        <w:t xml:space="preserve">The MIG experts were automatically assigned to one of the three break-out sessions. In the break-out session, participants were asked to share any reflections on the background document, the survey and the way forward to a possible solution that would remediate the negative impact of </w:t>
      </w:r>
      <w:r w:rsidR="002D3197">
        <w:rPr>
          <w:rFonts w:asciiTheme="minorHAnsi" w:hAnsiTheme="minorHAnsi" w:cstheme="minorHAnsi"/>
          <w:sz w:val="22"/>
          <w:szCs w:val="22"/>
        </w:rPr>
        <w:t xml:space="preserve">non-harmonised </w:t>
      </w:r>
      <w:r w:rsidRPr="000860E3">
        <w:rPr>
          <w:rFonts w:asciiTheme="minorHAnsi" w:hAnsiTheme="minorHAnsi" w:cstheme="minorHAnsi"/>
          <w:sz w:val="22"/>
          <w:szCs w:val="22"/>
        </w:rPr>
        <w:t>data on the data compliance indicator.</w:t>
      </w:r>
    </w:p>
    <w:p w14:paraId="21B6BFFB" w14:textId="28F17570" w:rsidR="005D2C09" w:rsidRPr="000860E3" w:rsidRDefault="005D2C09" w:rsidP="005D2C09">
      <w:pPr>
        <w:pStyle w:val="NormalWeb"/>
        <w:rPr>
          <w:rFonts w:asciiTheme="minorHAnsi" w:hAnsiTheme="minorHAnsi" w:cstheme="minorHAnsi"/>
          <w:sz w:val="22"/>
          <w:szCs w:val="22"/>
        </w:rPr>
      </w:pPr>
    </w:p>
    <w:p w14:paraId="58872F2B" w14:textId="768EA26C" w:rsidR="005D2C09" w:rsidRPr="000860E3" w:rsidRDefault="005D2C09" w:rsidP="005D2C09">
      <w:pPr>
        <w:pStyle w:val="NormalWeb"/>
        <w:rPr>
          <w:rFonts w:asciiTheme="minorHAnsi" w:hAnsiTheme="minorHAnsi" w:cstheme="minorHAnsi"/>
          <w:sz w:val="22"/>
          <w:szCs w:val="22"/>
        </w:rPr>
      </w:pPr>
      <w:r w:rsidRPr="000860E3">
        <w:rPr>
          <w:rFonts w:asciiTheme="minorHAnsi" w:hAnsiTheme="minorHAnsi" w:cstheme="minorHAnsi"/>
          <w:sz w:val="22"/>
          <w:szCs w:val="22"/>
        </w:rPr>
        <w:t xml:space="preserve">The following </w:t>
      </w:r>
      <w:r w:rsidR="00A12F41">
        <w:rPr>
          <w:rFonts w:asciiTheme="minorHAnsi" w:hAnsiTheme="minorHAnsi" w:cstheme="minorHAnsi"/>
          <w:sz w:val="22"/>
          <w:szCs w:val="22"/>
        </w:rPr>
        <w:t xml:space="preserve">input </w:t>
      </w:r>
      <w:r w:rsidRPr="000860E3">
        <w:rPr>
          <w:rFonts w:asciiTheme="minorHAnsi" w:hAnsiTheme="minorHAnsi" w:cstheme="minorHAnsi"/>
          <w:sz w:val="22"/>
          <w:szCs w:val="22"/>
        </w:rPr>
        <w:t>w</w:t>
      </w:r>
      <w:r w:rsidR="00A12F41">
        <w:rPr>
          <w:rFonts w:asciiTheme="minorHAnsi" w:hAnsiTheme="minorHAnsi" w:cstheme="minorHAnsi"/>
          <w:sz w:val="22"/>
          <w:szCs w:val="22"/>
        </w:rPr>
        <w:t>as</w:t>
      </w:r>
      <w:r w:rsidRPr="000860E3">
        <w:rPr>
          <w:rFonts w:asciiTheme="minorHAnsi" w:hAnsiTheme="minorHAnsi" w:cstheme="minorHAnsi"/>
          <w:sz w:val="22"/>
          <w:szCs w:val="22"/>
        </w:rPr>
        <w:t xml:space="preserve"> gathered in the roundtable discussion</w:t>
      </w:r>
      <w:r w:rsidR="009A4C37">
        <w:rPr>
          <w:rFonts w:asciiTheme="minorHAnsi" w:hAnsiTheme="minorHAnsi" w:cstheme="minorHAnsi"/>
          <w:sz w:val="22"/>
          <w:szCs w:val="22"/>
        </w:rPr>
        <w:t xml:space="preserve"> in the break-out groups</w:t>
      </w:r>
      <w:r w:rsidRPr="000860E3">
        <w:rPr>
          <w:rFonts w:asciiTheme="minorHAnsi" w:hAnsiTheme="minorHAnsi" w:cstheme="minorHAnsi"/>
          <w:sz w:val="22"/>
          <w:szCs w:val="22"/>
        </w:rPr>
        <w:t>:</w:t>
      </w:r>
    </w:p>
    <w:p w14:paraId="4DB8FF02" w14:textId="3F2D3779" w:rsidR="00EA7EED" w:rsidRPr="00A12F41" w:rsidRDefault="00EA7EED" w:rsidP="00EA7EED">
      <w:pPr>
        <w:pStyle w:val="ListParagraph"/>
        <w:numPr>
          <w:ilvl w:val="0"/>
          <w:numId w:val="7"/>
        </w:numPr>
        <w:spacing w:before="0" w:after="0" w:line="240" w:lineRule="auto"/>
        <w:contextualSpacing w:val="0"/>
        <w:rPr>
          <w:rFonts w:ascii="Calibri" w:hAnsi="Calibri" w:cs="Calibri"/>
          <w:lang w:val="en-GB"/>
        </w:rPr>
      </w:pPr>
      <w:r>
        <w:rPr>
          <w:rFonts w:ascii="Calibri" w:hAnsi="Calibri" w:cs="Calibri"/>
          <w:lang w:val="en-GB"/>
        </w:rPr>
        <w:t xml:space="preserve">Experts </w:t>
      </w:r>
      <w:r w:rsidRPr="00A12F41">
        <w:rPr>
          <w:rFonts w:ascii="Calibri" w:hAnsi="Calibri" w:cs="Calibri"/>
          <w:bCs/>
          <w:lang w:val="en-GB"/>
        </w:rPr>
        <w:t>acknowledge</w:t>
      </w:r>
      <w:r>
        <w:rPr>
          <w:rFonts w:ascii="Calibri" w:hAnsi="Calibri" w:cs="Calibri"/>
          <w:bCs/>
          <w:lang w:val="en-GB"/>
        </w:rPr>
        <w:t>d</w:t>
      </w:r>
      <w:r w:rsidRPr="00A12F41">
        <w:rPr>
          <w:rFonts w:ascii="Calibri" w:hAnsi="Calibri" w:cs="Calibri"/>
          <w:bCs/>
          <w:lang w:val="en-GB"/>
        </w:rPr>
        <w:t xml:space="preserve"> that there is a problem</w:t>
      </w:r>
      <w:r w:rsidRPr="00A12F41">
        <w:rPr>
          <w:rFonts w:ascii="Calibri" w:hAnsi="Calibri" w:cs="Calibri"/>
          <w:lang w:val="en-GB"/>
        </w:rPr>
        <w:t xml:space="preserve"> with the </w:t>
      </w:r>
      <w:r>
        <w:rPr>
          <w:rFonts w:ascii="Calibri" w:hAnsi="Calibri" w:cs="Calibri"/>
          <w:lang w:val="en-GB"/>
        </w:rPr>
        <w:t xml:space="preserve">monitoring </w:t>
      </w:r>
      <w:r w:rsidRPr="00A12F41">
        <w:rPr>
          <w:rFonts w:ascii="Calibri" w:hAnsi="Calibri" w:cs="Calibri"/>
          <w:lang w:val="en-GB"/>
        </w:rPr>
        <w:t xml:space="preserve">indicators and the </w:t>
      </w:r>
      <w:r>
        <w:rPr>
          <w:rFonts w:ascii="Calibri" w:hAnsi="Calibri" w:cs="Calibri"/>
          <w:lang w:val="en-GB"/>
        </w:rPr>
        <w:t>negative impact of non-</w:t>
      </w:r>
      <w:r w:rsidRPr="00A12F41">
        <w:rPr>
          <w:rFonts w:ascii="Calibri" w:hAnsi="Calibri" w:cs="Calibri"/>
          <w:lang w:val="en-GB"/>
        </w:rPr>
        <w:t>harmonised data</w:t>
      </w:r>
      <w:r>
        <w:rPr>
          <w:rFonts w:ascii="Calibri" w:hAnsi="Calibri" w:cs="Calibri"/>
          <w:lang w:val="en-GB"/>
        </w:rPr>
        <w:t>.</w:t>
      </w:r>
      <w:r w:rsidRPr="00A12F41">
        <w:rPr>
          <w:rFonts w:ascii="Calibri" w:hAnsi="Calibri" w:cs="Calibri"/>
          <w:lang w:val="en-GB"/>
        </w:rPr>
        <w:t xml:space="preserve"> </w:t>
      </w:r>
    </w:p>
    <w:p w14:paraId="26D53014" w14:textId="4C2AC772" w:rsidR="00A12F41" w:rsidRPr="00A12F41" w:rsidRDefault="00095EA1" w:rsidP="00A12F41">
      <w:pPr>
        <w:pStyle w:val="ListParagraph"/>
        <w:numPr>
          <w:ilvl w:val="0"/>
          <w:numId w:val="7"/>
        </w:numPr>
        <w:rPr>
          <w:rFonts w:cstheme="minorHAnsi"/>
          <w:lang w:val="en-GB"/>
        </w:rPr>
      </w:pPr>
      <w:r>
        <w:rPr>
          <w:rFonts w:cstheme="minorHAnsi"/>
          <w:lang w:val="en-GB"/>
        </w:rPr>
        <w:t>Some countries are already limiting their offering to harmonised</w:t>
      </w:r>
      <w:r w:rsidR="002D3197">
        <w:rPr>
          <w:rStyle w:val="FootnoteReference"/>
          <w:rFonts w:cstheme="minorHAnsi"/>
          <w:lang w:val="en-GB"/>
        </w:rPr>
        <w:footnoteReference w:id="3"/>
      </w:r>
      <w:r>
        <w:rPr>
          <w:rFonts w:cstheme="minorHAnsi"/>
          <w:lang w:val="en-GB"/>
        </w:rPr>
        <w:t xml:space="preserve"> data only. Non-harmonised data is </w:t>
      </w:r>
      <w:r w:rsidR="00EA7EED">
        <w:rPr>
          <w:rFonts w:cstheme="minorHAnsi"/>
          <w:lang w:val="en-GB"/>
        </w:rPr>
        <w:t xml:space="preserve">still </w:t>
      </w:r>
      <w:r>
        <w:rPr>
          <w:rFonts w:cstheme="minorHAnsi"/>
          <w:lang w:val="en-GB"/>
        </w:rPr>
        <w:t>made available to the national stakeholders</w:t>
      </w:r>
      <w:r w:rsidR="002D3197">
        <w:rPr>
          <w:rFonts w:cstheme="minorHAnsi"/>
          <w:lang w:val="en-GB"/>
        </w:rPr>
        <w:t xml:space="preserve"> through a separate infrastructure</w:t>
      </w:r>
      <w:r>
        <w:rPr>
          <w:rFonts w:cstheme="minorHAnsi"/>
          <w:lang w:val="en-GB"/>
        </w:rPr>
        <w:t xml:space="preserve">. </w:t>
      </w:r>
    </w:p>
    <w:p w14:paraId="205D16A7" w14:textId="064F27A0" w:rsidR="00EA7EED" w:rsidRPr="00A12F41" w:rsidRDefault="00EA7EED" w:rsidP="00EA7EED">
      <w:pPr>
        <w:pStyle w:val="ListParagraph"/>
        <w:numPr>
          <w:ilvl w:val="0"/>
          <w:numId w:val="7"/>
        </w:numPr>
        <w:spacing w:before="0" w:after="0" w:line="240" w:lineRule="auto"/>
        <w:contextualSpacing w:val="0"/>
        <w:rPr>
          <w:rFonts w:ascii="Calibri" w:hAnsi="Calibri" w:cs="Calibri"/>
          <w:lang w:val="en-GB"/>
        </w:rPr>
      </w:pPr>
      <w:r w:rsidRPr="00A12F41">
        <w:rPr>
          <w:rFonts w:ascii="Calibri" w:hAnsi="Calibri" w:cs="Calibri"/>
          <w:lang w:val="en-GB"/>
        </w:rPr>
        <w:t xml:space="preserve">At the same time </w:t>
      </w:r>
      <w:r>
        <w:rPr>
          <w:rFonts w:ascii="Calibri" w:hAnsi="Calibri" w:cs="Calibri"/>
          <w:lang w:val="en-GB"/>
        </w:rPr>
        <w:t xml:space="preserve">the experts </w:t>
      </w:r>
      <w:r w:rsidRPr="00A12F41">
        <w:rPr>
          <w:rFonts w:ascii="Calibri" w:hAnsi="Calibri" w:cs="Calibri"/>
          <w:lang w:val="en-GB"/>
        </w:rPr>
        <w:t xml:space="preserve">see the </w:t>
      </w:r>
      <w:r w:rsidRPr="00A12F41">
        <w:rPr>
          <w:rFonts w:ascii="Calibri" w:hAnsi="Calibri" w:cs="Calibri"/>
          <w:bCs/>
          <w:lang w:val="en-GB"/>
        </w:rPr>
        <w:t>monitoring as an important tool to communicate on the national level</w:t>
      </w:r>
      <w:r w:rsidRPr="00A12F41">
        <w:rPr>
          <w:rFonts w:ascii="Calibri" w:hAnsi="Calibri" w:cs="Calibri"/>
          <w:lang w:val="en-GB"/>
        </w:rPr>
        <w:t xml:space="preserve"> and </w:t>
      </w:r>
      <w:r w:rsidRPr="00A12F41">
        <w:rPr>
          <w:rFonts w:ascii="Calibri" w:hAnsi="Calibri" w:cs="Calibri"/>
          <w:bCs/>
          <w:lang w:val="en-GB"/>
        </w:rPr>
        <w:t>stimulate data providers to share more</w:t>
      </w:r>
      <w:r w:rsidRPr="00A12F41">
        <w:rPr>
          <w:rFonts w:ascii="Calibri" w:hAnsi="Calibri" w:cs="Calibri"/>
          <w:lang w:val="en-GB"/>
        </w:rPr>
        <w:t xml:space="preserve"> data</w:t>
      </w:r>
      <w:r>
        <w:rPr>
          <w:rFonts w:ascii="Calibri" w:hAnsi="Calibri" w:cs="Calibri"/>
          <w:lang w:val="en-GB"/>
        </w:rPr>
        <w:t xml:space="preserve">. In general </w:t>
      </w:r>
      <w:r w:rsidRPr="00A12F41">
        <w:rPr>
          <w:rFonts w:ascii="Calibri" w:hAnsi="Calibri" w:cs="Calibri"/>
          <w:lang w:val="en-GB"/>
        </w:rPr>
        <w:t>there was no appetite to hide data in order to improve indicators</w:t>
      </w:r>
      <w:r>
        <w:rPr>
          <w:rFonts w:ascii="Calibri" w:hAnsi="Calibri" w:cs="Calibri"/>
          <w:lang w:val="en-GB"/>
        </w:rPr>
        <w:t>.</w:t>
      </w:r>
    </w:p>
    <w:p w14:paraId="0B073A9A" w14:textId="20C56EF7" w:rsidR="00A12F41" w:rsidRPr="002D3197" w:rsidRDefault="00095EA1" w:rsidP="004D1C29">
      <w:pPr>
        <w:pStyle w:val="ListParagraph"/>
        <w:numPr>
          <w:ilvl w:val="0"/>
          <w:numId w:val="7"/>
        </w:numPr>
        <w:spacing w:before="0" w:after="0" w:line="240" w:lineRule="auto"/>
        <w:contextualSpacing w:val="0"/>
        <w:rPr>
          <w:rFonts w:ascii="Calibri" w:hAnsi="Calibri" w:cs="Calibri"/>
          <w:lang w:val="en-GB"/>
        </w:rPr>
      </w:pPr>
      <w:r w:rsidRPr="002D3197">
        <w:rPr>
          <w:rFonts w:cstheme="minorHAnsi"/>
          <w:lang w:val="en-GB"/>
        </w:rPr>
        <w:t>The a</w:t>
      </w:r>
      <w:r w:rsidR="00A12F41" w:rsidRPr="002D3197">
        <w:rPr>
          <w:rFonts w:cstheme="minorHAnsi"/>
          <w:lang w:val="en-GB"/>
        </w:rPr>
        <w:t xml:space="preserve">ppreciation of </w:t>
      </w:r>
      <w:r w:rsidRPr="002D3197">
        <w:rPr>
          <w:rFonts w:cstheme="minorHAnsi"/>
          <w:lang w:val="en-GB"/>
        </w:rPr>
        <w:t>non-harmonized d</w:t>
      </w:r>
      <w:r w:rsidR="00A12F41" w:rsidRPr="002D3197">
        <w:rPr>
          <w:rFonts w:cstheme="minorHAnsi"/>
          <w:lang w:val="en-GB"/>
        </w:rPr>
        <w:t xml:space="preserve">ata came through strongly. </w:t>
      </w:r>
      <w:r w:rsidR="002D3197" w:rsidRPr="002D3197">
        <w:rPr>
          <w:rFonts w:cstheme="minorHAnsi"/>
          <w:lang w:val="en-GB"/>
        </w:rPr>
        <w:t xml:space="preserve">This data is the richest and is important for national use cases. </w:t>
      </w:r>
    </w:p>
    <w:p w14:paraId="1FD0834A" w14:textId="56E12D70" w:rsidR="002D3197" w:rsidRPr="002D3197" w:rsidRDefault="002D3197" w:rsidP="004D1C29">
      <w:pPr>
        <w:pStyle w:val="ListParagraph"/>
        <w:numPr>
          <w:ilvl w:val="0"/>
          <w:numId w:val="7"/>
        </w:numPr>
        <w:spacing w:before="0" w:after="0" w:line="240" w:lineRule="auto"/>
        <w:contextualSpacing w:val="0"/>
        <w:rPr>
          <w:rFonts w:ascii="Calibri" w:hAnsi="Calibri" w:cs="Calibri"/>
          <w:lang w:val="en-GB"/>
        </w:rPr>
      </w:pPr>
      <w:r>
        <w:rPr>
          <w:rFonts w:ascii="Calibri" w:hAnsi="Calibri" w:cs="Calibri"/>
          <w:lang w:val="en-GB"/>
        </w:rPr>
        <w:t xml:space="preserve">A majority of experts </w:t>
      </w:r>
      <w:r w:rsidR="00EA7EED">
        <w:rPr>
          <w:rFonts w:ascii="Calibri" w:hAnsi="Calibri" w:cs="Calibri"/>
          <w:lang w:val="en-GB"/>
        </w:rPr>
        <w:t>agreed that both harmonised and non-harmonised data should be made available under the INSPIRE Directive.</w:t>
      </w:r>
    </w:p>
    <w:p w14:paraId="27BE0075" w14:textId="1E3CC830" w:rsidR="00DA75BF" w:rsidRPr="00A12F41" w:rsidRDefault="00DA75BF" w:rsidP="006E7E70">
      <w:pPr>
        <w:pStyle w:val="ListParagraph"/>
        <w:numPr>
          <w:ilvl w:val="0"/>
          <w:numId w:val="7"/>
        </w:numPr>
        <w:spacing w:before="0" w:after="0" w:line="240" w:lineRule="auto"/>
        <w:contextualSpacing w:val="0"/>
        <w:rPr>
          <w:rFonts w:ascii="Calibri" w:hAnsi="Calibri" w:cs="Calibri"/>
          <w:lang w:val="en-GB"/>
        </w:rPr>
      </w:pPr>
      <w:r w:rsidRPr="00A12F41">
        <w:rPr>
          <w:rFonts w:ascii="Calibri" w:hAnsi="Calibri" w:cs="Calibri"/>
          <w:lang w:val="en-GB"/>
        </w:rPr>
        <w:t xml:space="preserve">Regarding the technical options, the discussion confirmed the findings of the MIG-T that </w:t>
      </w:r>
      <w:r w:rsidRPr="00A12F41">
        <w:rPr>
          <w:rFonts w:ascii="Calibri" w:hAnsi="Calibri" w:cs="Calibri"/>
          <w:bCs/>
          <w:lang w:val="en-GB"/>
        </w:rPr>
        <w:t>converging around one single approach is problematic</w:t>
      </w:r>
      <w:r w:rsidRPr="00A12F41">
        <w:rPr>
          <w:rFonts w:ascii="Calibri" w:hAnsi="Calibri" w:cs="Calibri"/>
          <w:lang w:val="en-GB"/>
        </w:rPr>
        <w:t xml:space="preserve">. Some countries already use filters, while others are inclined towards the use of individual metadata records for as-is and harmonised data. </w:t>
      </w:r>
      <w:r w:rsidR="00A12F41">
        <w:rPr>
          <w:rFonts w:ascii="Calibri" w:hAnsi="Calibri" w:cs="Calibri"/>
          <w:lang w:val="en-GB"/>
        </w:rPr>
        <w:t>Besides different approaches at national level, several countries are also coping with different approaches at r</w:t>
      </w:r>
      <w:r w:rsidR="00EA7EED">
        <w:rPr>
          <w:rFonts w:ascii="Calibri" w:hAnsi="Calibri" w:cs="Calibri"/>
          <w:lang w:val="en-GB"/>
        </w:rPr>
        <w:t>egional level.</w:t>
      </w:r>
    </w:p>
    <w:p w14:paraId="3F244AAA" w14:textId="62DC91C6" w:rsidR="00DA75BF" w:rsidRPr="00A12F41" w:rsidRDefault="00DA75BF" w:rsidP="006E7E70">
      <w:pPr>
        <w:pStyle w:val="ListParagraph"/>
        <w:numPr>
          <w:ilvl w:val="0"/>
          <w:numId w:val="7"/>
        </w:numPr>
        <w:spacing w:before="0" w:after="0" w:line="240" w:lineRule="auto"/>
        <w:contextualSpacing w:val="0"/>
        <w:rPr>
          <w:rFonts w:ascii="Calibri" w:hAnsi="Calibri" w:cs="Calibri"/>
          <w:lang w:val="en-GB"/>
        </w:rPr>
      </w:pPr>
      <w:r w:rsidRPr="00A12F41">
        <w:rPr>
          <w:rFonts w:ascii="Calibri" w:hAnsi="Calibri" w:cs="Calibri"/>
          <w:lang w:val="en-GB"/>
        </w:rPr>
        <w:t xml:space="preserve">Another argument for </w:t>
      </w:r>
      <w:r w:rsidR="00A12F41">
        <w:rPr>
          <w:rFonts w:ascii="Calibri" w:hAnsi="Calibri" w:cs="Calibri"/>
          <w:lang w:val="en-GB"/>
        </w:rPr>
        <w:t xml:space="preserve">using </w:t>
      </w:r>
      <w:r w:rsidRPr="00A12F41">
        <w:rPr>
          <w:rFonts w:ascii="Calibri" w:hAnsi="Calibri" w:cs="Calibri"/>
          <w:lang w:val="en-GB"/>
        </w:rPr>
        <w:t xml:space="preserve">different metadata records </w:t>
      </w:r>
      <w:r w:rsidR="003E2939">
        <w:rPr>
          <w:rFonts w:ascii="Calibri" w:hAnsi="Calibri" w:cs="Calibri"/>
          <w:lang w:val="en-GB"/>
        </w:rPr>
        <w:t>was</w:t>
      </w:r>
      <w:r w:rsidRPr="00A12F41">
        <w:rPr>
          <w:rFonts w:ascii="Calibri" w:hAnsi="Calibri" w:cs="Calibri"/>
          <w:lang w:val="en-GB"/>
        </w:rPr>
        <w:t xml:space="preserve"> that in some cases, </w:t>
      </w:r>
      <w:r w:rsidRPr="00A12F41">
        <w:rPr>
          <w:rFonts w:ascii="Calibri" w:hAnsi="Calibri" w:cs="Calibri"/>
          <w:bCs/>
          <w:lang w:val="en-GB"/>
        </w:rPr>
        <w:t xml:space="preserve">different </w:t>
      </w:r>
      <w:r w:rsidR="00A12F41">
        <w:rPr>
          <w:rFonts w:ascii="Calibri" w:hAnsi="Calibri" w:cs="Calibri"/>
          <w:bCs/>
          <w:lang w:val="en-GB"/>
        </w:rPr>
        <w:t xml:space="preserve">organisations </w:t>
      </w:r>
      <w:r w:rsidRPr="00A12F41">
        <w:rPr>
          <w:rFonts w:ascii="Calibri" w:hAnsi="Calibri" w:cs="Calibri"/>
          <w:bCs/>
          <w:lang w:val="en-GB"/>
        </w:rPr>
        <w:t>are responsible for the harmonised and non-harmonised datasets</w:t>
      </w:r>
      <w:r w:rsidRPr="00A12F41">
        <w:rPr>
          <w:rFonts w:ascii="Calibri" w:hAnsi="Calibri" w:cs="Calibri"/>
          <w:lang w:val="en-GB"/>
        </w:rPr>
        <w:t>, which in turn require</w:t>
      </w:r>
      <w:r w:rsidR="00A12F41">
        <w:rPr>
          <w:rFonts w:ascii="Calibri" w:hAnsi="Calibri" w:cs="Calibri"/>
          <w:lang w:val="en-GB"/>
        </w:rPr>
        <w:t>s</w:t>
      </w:r>
      <w:r w:rsidRPr="00A12F41">
        <w:rPr>
          <w:rFonts w:ascii="Calibri" w:hAnsi="Calibri" w:cs="Calibri"/>
          <w:lang w:val="en-GB"/>
        </w:rPr>
        <w:t xml:space="preserve"> different metadata records.</w:t>
      </w:r>
    </w:p>
    <w:p w14:paraId="0FB93931" w14:textId="03461689" w:rsidR="00A057C4" w:rsidRDefault="00B97580" w:rsidP="00C54B03">
      <w:pPr>
        <w:pStyle w:val="ListParagraph"/>
        <w:numPr>
          <w:ilvl w:val="0"/>
          <w:numId w:val="7"/>
        </w:numPr>
        <w:rPr>
          <w:rFonts w:cstheme="minorHAnsi"/>
          <w:lang w:val="en-GB"/>
        </w:rPr>
      </w:pPr>
      <w:r>
        <w:rPr>
          <w:rFonts w:cstheme="minorHAnsi"/>
          <w:lang w:val="en-GB"/>
        </w:rPr>
        <w:t xml:space="preserve">A more flexible calculation of </w:t>
      </w:r>
      <w:r w:rsidR="00A057C4">
        <w:rPr>
          <w:rFonts w:cstheme="minorHAnsi"/>
          <w:lang w:val="en-GB"/>
        </w:rPr>
        <w:t xml:space="preserve">the </w:t>
      </w:r>
      <w:r>
        <w:rPr>
          <w:rFonts w:cstheme="minorHAnsi"/>
          <w:lang w:val="en-GB"/>
        </w:rPr>
        <w:t xml:space="preserve">data conformity indicators (DSi2.x) could facilitate different technical solutions, limiting the possible impact on existing implementations. Moreover, fine-tuning of the indicator could also </w:t>
      </w:r>
      <w:r w:rsidR="00A057C4">
        <w:rPr>
          <w:rFonts w:cstheme="minorHAnsi"/>
          <w:lang w:val="en-GB"/>
        </w:rPr>
        <w:t xml:space="preserve">be used to introduce a more meaningful assessment of the conformity of spatial data sets (e.g. priority data) and </w:t>
      </w:r>
      <w:r w:rsidR="00C54B03">
        <w:rPr>
          <w:rFonts w:cstheme="minorHAnsi"/>
          <w:lang w:val="en-GB"/>
        </w:rPr>
        <w:t xml:space="preserve">take in consideration that conformity </w:t>
      </w:r>
      <w:r w:rsidR="00C54B03" w:rsidRPr="00C54B03">
        <w:rPr>
          <w:rFonts w:cstheme="minorHAnsi"/>
          <w:lang w:val="en-GB"/>
        </w:rPr>
        <w:t xml:space="preserve">might never reach 100% </w:t>
      </w:r>
      <w:r w:rsidR="00C54B03">
        <w:rPr>
          <w:rFonts w:cstheme="minorHAnsi"/>
          <w:lang w:val="en-GB"/>
        </w:rPr>
        <w:t>(e.g. by introducing a star-based appreciation system)</w:t>
      </w:r>
      <w:r w:rsidR="00A057C4">
        <w:rPr>
          <w:rFonts w:cstheme="minorHAnsi"/>
          <w:lang w:val="en-GB"/>
        </w:rPr>
        <w:t>.</w:t>
      </w:r>
    </w:p>
    <w:p w14:paraId="54E2A2CD" w14:textId="239E0703" w:rsidR="005D2C09" w:rsidRPr="000860E3" w:rsidRDefault="003B51DB" w:rsidP="003B51DB">
      <w:pPr>
        <w:pStyle w:val="Heading1"/>
        <w:rPr>
          <w:lang w:val="en-GB"/>
        </w:rPr>
      </w:pPr>
      <w:bookmarkStart w:id="12" w:name="_Toc76398867"/>
      <w:bookmarkStart w:id="13" w:name="_Toc77000120"/>
      <w:r>
        <w:rPr>
          <w:lang w:val="en-GB"/>
        </w:rPr>
        <w:t xml:space="preserve">Main takeaways </w:t>
      </w:r>
      <w:r w:rsidR="005D2C09" w:rsidRPr="000860E3">
        <w:rPr>
          <w:lang w:val="en-GB"/>
        </w:rPr>
        <w:t>and next steps</w:t>
      </w:r>
      <w:bookmarkEnd w:id="12"/>
      <w:bookmarkEnd w:id="13"/>
    </w:p>
    <w:p w14:paraId="0060E716" w14:textId="77777777" w:rsidR="002F5AD9" w:rsidRDefault="002F5AD9" w:rsidP="002F5AD9">
      <w:pPr>
        <w:pStyle w:val="NormalWeb"/>
        <w:rPr>
          <w:rFonts w:asciiTheme="minorHAnsi" w:hAnsiTheme="minorHAnsi" w:cstheme="minorHAnsi"/>
          <w:sz w:val="22"/>
          <w:szCs w:val="22"/>
        </w:rPr>
      </w:pPr>
    </w:p>
    <w:p w14:paraId="7E5260D4" w14:textId="4A49020D" w:rsidR="00A92A2C" w:rsidRPr="002F5AD9" w:rsidRDefault="003A2E38" w:rsidP="002F5AD9">
      <w:pPr>
        <w:pStyle w:val="NormalWeb"/>
        <w:rPr>
          <w:rFonts w:asciiTheme="minorHAnsi" w:hAnsiTheme="minorHAnsi" w:cstheme="minorHAnsi"/>
          <w:sz w:val="22"/>
          <w:szCs w:val="22"/>
        </w:rPr>
      </w:pPr>
      <w:r w:rsidRPr="002F5AD9">
        <w:rPr>
          <w:rFonts w:asciiTheme="minorHAnsi" w:hAnsiTheme="minorHAnsi" w:cstheme="minorHAnsi"/>
          <w:sz w:val="22"/>
          <w:szCs w:val="22"/>
        </w:rPr>
        <w:t>The discussion has shown that countries are already using/preferring different technical solutions</w:t>
      </w:r>
      <w:r w:rsidR="002F5AD9">
        <w:rPr>
          <w:rFonts w:asciiTheme="minorHAnsi" w:hAnsiTheme="minorHAnsi" w:cstheme="minorHAnsi"/>
          <w:sz w:val="22"/>
          <w:szCs w:val="22"/>
        </w:rPr>
        <w:t xml:space="preserve"> for documenting harmonised and non-harmonised versions of data sets</w:t>
      </w:r>
      <w:r w:rsidRPr="002F5AD9">
        <w:rPr>
          <w:rFonts w:asciiTheme="minorHAnsi" w:hAnsiTheme="minorHAnsi" w:cstheme="minorHAnsi"/>
          <w:sz w:val="22"/>
          <w:szCs w:val="22"/>
        </w:rPr>
        <w:t xml:space="preserve">. Support for a mix of proposed technical solutions is </w:t>
      </w:r>
      <w:r w:rsidR="002F5AD9">
        <w:rPr>
          <w:rFonts w:asciiTheme="minorHAnsi" w:hAnsiTheme="minorHAnsi" w:cstheme="minorHAnsi"/>
          <w:sz w:val="22"/>
          <w:szCs w:val="22"/>
        </w:rPr>
        <w:t>recommended</w:t>
      </w:r>
      <w:r w:rsidRPr="002F5AD9">
        <w:rPr>
          <w:rFonts w:asciiTheme="minorHAnsi" w:hAnsiTheme="minorHAnsi" w:cstheme="minorHAnsi"/>
          <w:sz w:val="22"/>
          <w:szCs w:val="22"/>
        </w:rPr>
        <w:t xml:space="preserve">. </w:t>
      </w:r>
    </w:p>
    <w:p w14:paraId="2161DB55" w14:textId="77777777" w:rsidR="002F5AD9" w:rsidRDefault="002F5AD9" w:rsidP="002F5AD9">
      <w:pPr>
        <w:pStyle w:val="NormalWeb"/>
        <w:rPr>
          <w:rFonts w:asciiTheme="minorHAnsi" w:hAnsiTheme="minorHAnsi" w:cstheme="minorHAnsi"/>
          <w:sz w:val="22"/>
          <w:szCs w:val="22"/>
        </w:rPr>
      </w:pPr>
    </w:p>
    <w:p w14:paraId="3E7D6E98" w14:textId="79AD2280" w:rsidR="00A92A2C" w:rsidRPr="002F5AD9" w:rsidRDefault="002F5AD9" w:rsidP="002F5AD9">
      <w:pPr>
        <w:pStyle w:val="NormalWeb"/>
        <w:rPr>
          <w:rFonts w:asciiTheme="minorHAnsi" w:hAnsiTheme="minorHAnsi" w:cstheme="minorHAnsi"/>
          <w:sz w:val="22"/>
          <w:szCs w:val="22"/>
        </w:rPr>
      </w:pPr>
      <w:r>
        <w:rPr>
          <w:rFonts w:asciiTheme="minorHAnsi" w:hAnsiTheme="minorHAnsi" w:cstheme="minorHAnsi"/>
          <w:sz w:val="22"/>
          <w:szCs w:val="22"/>
        </w:rPr>
        <w:lastRenderedPageBreak/>
        <w:t>The a</w:t>
      </w:r>
      <w:r w:rsidR="003A2E38" w:rsidRPr="002F5AD9">
        <w:rPr>
          <w:rFonts w:asciiTheme="minorHAnsi" w:hAnsiTheme="minorHAnsi" w:cstheme="minorHAnsi"/>
          <w:sz w:val="22"/>
          <w:szCs w:val="22"/>
        </w:rPr>
        <w:t>ppreciation of non-harmonized data is strong. Some data cannot be harmonized and is needed for national use cases. INSPIRE harmonized data have limited national/regional/local use.</w:t>
      </w:r>
      <w:r>
        <w:rPr>
          <w:rFonts w:asciiTheme="minorHAnsi" w:hAnsiTheme="minorHAnsi" w:cstheme="minorHAnsi"/>
          <w:sz w:val="22"/>
          <w:szCs w:val="22"/>
        </w:rPr>
        <w:t xml:space="preserve"> It would be appropriate to limit the harmonisation burden to selected data sets.  </w:t>
      </w:r>
    </w:p>
    <w:p w14:paraId="53AEA522" w14:textId="77777777" w:rsidR="002F5AD9" w:rsidRDefault="002F5AD9" w:rsidP="002F5AD9">
      <w:pPr>
        <w:pStyle w:val="NormalWeb"/>
        <w:rPr>
          <w:rFonts w:asciiTheme="minorHAnsi" w:hAnsiTheme="minorHAnsi" w:cstheme="minorHAnsi"/>
          <w:sz w:val="22"/>
          <w:szCs w:val="22"/>
        </w:rPr>
      </w:pPr>
    </w:p>
    <w:p w14:paraId="2EDFCBDD" w14:textId="5BB9E319" w:rsidR="007755DC" w:rsidRDefault="002F5AD9" w:rsidP="002F5AD9">
      <w:pPr>
        <w:pStyle w:val="NormalWeb"/>
        <w:rPr>
          <w:rFonts w:asciiTheme="minorHAnsi" w:hAnsiTheme="minorHAnsi" w:cstheme="minorHAnsi"/>
          <w:sz w:val="22"/>
          <w:szCs w:val="22"/>
        </w:rPr>
      </w:pPr>
      <w:r>
        <w:rPr>
          <w:rFonts w:asciiTheme="minorHAnsi" w:hAnsiTheme="minorHAnsi" w:cstheme="minorHAnsi"/>
          <w:sz w:val="22"/>
          <w:szCs w:val="22"/>
        </w:rPr>
        <w:t xml:space="preserve">It was proposed </w:t>
      </w:r>
      <w:r w:rsidR="000860E3" w:rsidRPr="002F5AD9">
        <w:rPr>
          <w:rFonts w:asciiTheme="minorHAnsi" w:hAnsiTheme="minorHAnsi" w:cstheme="minorHAnsi"/>
          <w:sz w:val="22"/>
          <w:szCs w:val="22"/>
        </w:rPr>
        <w:t>to make the calculation of the indicators more flexible</w:t>
      </w:r>
      <w:r w:rsidR="003E2939">
        <w:rPr>
          <w:rFonts w:asciiTheme="minorHAnsi" w:hAnsiTheme="minorHAnsi" w:cstheme="minorHAnsi"/>
          <w:sz w:val="22"/>
          <w:szCs w:val="22"/>
        </w:rPr>
        <w:t xml:space="preserve"> to avoid the </w:t>
      </w:r>
      <w:r w:rsidR="000860E3" w:rsidRPr="002F5AD9">
        <w:rPr>
          <w:rFonts w:asciiTheme="minorHAnsi" w:hAnsiTheme="minorHAnsi" w:cstheme="minorHAnsi"/>
          <w:sz w:val="22"/>
          <w:szCs w:val="22"/>
        </w:rPr>
        <w:t xml:space="preserve">need </w:t>
      </w:r>
      <w:r w:rsidR="003E2939">
        <w:rPr>
          <w:rFonts w:asciiTheme="minorHAnsi" w:hAnsiTheme="minorHAnsi" w:cstheme="minorHAnsi"/>
          <w:sz w:val="22"/>
          <w:szCs w:val="22"/>
        </w:rPr>
        <w:t xml:space="preserve">for choosing between the identified </w:t>
      </w:r>
      <w:r w:rsidR="000860E3" w:rsidRPr="002F5AD9">
        <w:rPr>
          <w:rFonts w:asciiTheme="minorHAnsi" w:hAnsiTheme="minorHAnsi" w:cstheme="minorHAnsi"/>
          <w:sz w:val="22"/>
          <w:szCs w:val="22"/>
        </w:rPr>
        <w:t xml:space="preserve">technical </w:t>
      </w:r>
      <w:r w:rsidR="003E2939">
        <w:rPr>
          <w:rFonts w:asciiTheme="minorHAnsi" w:hAnsiTheme="minorHAnsi" w:cstheme="minorHAnsi"/>
          <w:sz w:val="22"/>
          <w:szCs w:val="22"/>
        </w:rPr>
        <w:t>solution options</w:t>
      </w:r>
      <w:r>
        <w:rPr>
          <w:rFonts w:asciiTheme="minorHAnsi" w:hAnsiTheme="minorHAnsi" w:cstheme="minorHAnsi"/>
          <w:sz w:val="22"/>
          <w:szCs w:val="22"/>
        </w:rPr>
        <w:t xml:space="preserve">. </w:t>
      </w:r>
    </w:p>
    <w:p w14:paraId="28C67524" w14:textId="77777777" w:rsidR="007755DC" w:rsidRDefault="007755DC" w:rsidP="002F5AD9">
      <w:pPr>
        <w:pStyle w:val="NormalWeb"/>
        <w:rPr>
          <w:rFonts w:asciiTheme="minorHAnsi" w:hAnsiTheme="minorHAnsi" w:cstheme="minorHAnsi"/>
          <w:sz w:val="22"/>
          <w:szCs w:val="22"/>
        </w:rPr>
      </w:pPr>
    </w:p>
    <w:p w14:paraId="48ADD904" w14:textId="671D622B" w:rsidR="002F5AD9" w:rsidRPr="000860E3" w:rsidRDefault="007755DC" w:rsidP="002F5AD9">
      <w:pPr>
        <w:pStyle w:val="NormalWeb"/>
        <w:rPr>
          <w:rFonts w:cstheme="minorHAnsi"/>
        </w:rPr>
      </w:pPr>
      <w:r>
        <w:rPr>
          <w:rFonts w:asciiTheme="minorHAnsi" w:hAnsiTheme="minorHAnsi" w:cstheme="minorHAnsi"/>
          <w:sz w:val="22"/>
          <w:szCs w:val="22"/>
        </w:rPr>
        <w:t xml:space="preserve">This flexibility could come from revising the current definition of the data conformity indicator in the Commission Implementing Decision on monitoring and reporting 2019/1372 and from applying a proportional harmonisation for prioritised data sets by further exploring the “where practicable” condition. </w:t>
      </w:r>
    </w:p>
    <w:p w14:paraId="24F2DCF0" w14:textId="77777777" w:rsidR="007755DC" w:rsidRDefault="007755DC" w:rsidP="000860E3">
      <w:pPr>
        <w:rPr>
          <w:lang w:val="en-GB"/>
        </w:rPr>
      </w:pPr>
      <w:bookmarkStart w:id="14" w:name="_GoBack"/>
      <w:bookmarkEnd w:id="14"/>
    </w:p>
    <w:p w14:paraId="3814D106" w14:textId="52ADA623" w:rsidR="000860E3" w:rsidRPr="007755DC" w:rsidRDefault="000860E3" w:rsidP="000860E3">
      <w:pPr>
        <w:rPr>
          <w:lang w:val="en-GB"/>
        </w:rPr>
      </w:pPr>
      <w:r w:rsidRPr="007755DC">
        <w:rPr>
          <w:lang w:val="en-GB"/>
        </w:rPr>
        <w:t>Next steps</w:t>
      </w:r>
      <w:r w:rsidR="007755DC">
        <w:rPr>
          <w:lang w:val="en-GB"/>
        </w:rPr>
        <w:t>:</w:t>
      </w:r>
    </w:p>
    <w:p w14:paraId="09D860AD" w14:textId="77777777" w:rsidR="00A92A2C" w:rsidRPr="007755DC" w:rsidRDefault="003A2E38" w:rsidP="000860E3">
      <w:pPr>
        <w:numPr>
          <w:ilvl w:val="0"/>
          <w:numId w:val="11"/>
        </w:numPr>
        <w:rPr>
          <w:lang w:val="en-GB"/>
        </w:rPr>
      </w:pPr>
      <w:r w:rsidRPr="007755DC">
        <w:rPr>
          <w:lang w:val="en-GB"/>
        </w:rPr>
        <w:t>The discussion will continue in the MIWP Action 2.2 subgroup and technical options for publishing non-harmonised datasets can be further elaborated in MIWP Action MIWP 2.3.2 on data-service linking simplification after reaching consensus on a remediation.</w:t>
      </w:r>
    </w:p>
    <w:p w14:paraId="4D0192C1" w14:textId="77777777" w:rsidR="00A92A2C" w:rsidRPr="007755DC" w:rsidRDefault="003A2E38" w:rsidP="000860E3">
      <w:pPr>
        <w:numPr>
          <w:ilvl w:val="0"/>
          <w:numId w:val="11"/>
        </w:numPr>
        <w:rPr>
          <w:lang w:val="en-GB"/>
        </w:rPr>
      </w:pPr>
      <w:r w:rsidRPr="007755DC">
        <w:rPr>
          <w:lang w:val="en-GB"/>
        </w:rPr>
        <w:t xml:space="preserve">Discussion boundaries </w:t>
      </w:r>
    </w:p>
    <w:p w14:paraId="5067E202" w14:textId="77777777" w:rsidR="00A92A2C" w:rsidRPr="007755DC" w:rsidRDefault="003A2E38" w:rsidP="000860E3">
      <w:pPr>
        <w:numPr>
          <w:ilvl w:val="1"/>
          <w:numId w:val="11"/>
        </w:numPr>
        <w:rPr>
          <w:lang w:val="en-GB"/>
        </w:rPr>
      </w:pPr>
      <w:r w:rsidRPr="007755DC">
        <w:rPr>
          <w:lang w:val="en-GB"/>
        </w:rPr>
        <w:t xml:space="preserve">Rich non-harmonized data for national/regional/local use cases should be published under INSPIRE. </w:t>
      </w:r>
    </w:p>
    <w:p w14:paraId="3C565625" w14:textId="526C7CCB" w:rsidR="00A92A2C" w:rsidRPr="007755DC" w:rsidRDefault="003A2E38" w:rsidP="000860E3">
      <w:pPr>
        <w:numPr>
          <w:ilvl w:val="1"/>
          <w:numId w:val="11"/>
        </w:numPr>
        <w:rPr>
          <w:lang w:val="en-GB"/>
        </w:rPr>
      </w:pPr>
      <w:r w:rsidRPr="007755DC">
        <w:rPr>
          <w:lang w:val="en-GB"/>
        </w:rPr>
        <w:t xml:space="preserve">Impact on Member States, Tools and infrastructure should be </w:t>
      </w:r>
      <w:r w:rsidR="006234F0">
        <w:rPr>
          <w:lang w:val="en-GB"/>
        </w:rPr>
        <w:t>m</w:t>
      </w:r>
      <w:r w:rsidRPr="007755DC">
        <w:rPr>
          <w:lang w:val="en-GB"/>
        </w:rPr>
        <w:t>inimal.</w:t>
      </w:r>
    </w:p>
    <w:p w14:paraId="5733A71A" w14:textId="64405055" w:rsidR="00A92A2C" w:rsidRPr="007755DC" w:rsidRDefault="003A2E38" w:rsidP="000860E3">
      <w:pPr>
        <w:numPr>
          <w:ilvl w:val="1"/>
          <w:numId w:val="11"/>
        </w:numPr>
        <w:rPr>
          <w:lang w:val="en-GB"/>
        </w:rPr>
      </w:pPr>
      <w:r w:rsidRPr="007755DC">
        <w:rPr>
          <w:lang w:val="en-GB"/>
        </w:rPr>
        <w:t>Need for technical flexibility supporting different approaches</w:t>
      </w:r>
      <w:r w:rsidR="006234F0">
        <w:rPr>
          <w:lang w:val="en-GB"/>
        </w:rPr>
        <w:t>.</w:t>
      </w:r>
    </w:p>
    <w:p w14:paraId="739E6C3B" w14:textId="1450B8A0" w:rsidR="00A92A2C" w:rsidRPr="007755DC" w:rsidRDefault="003A2E38" w:rsidP="000860E3">
      <w:pPr>
        <w:numPr>
          <w:ilvl w:val="1"/>
          <w:numId w:val="11"/>
        </w:numPr>
        <w:rPr>
          <w:lang w:val="en-GB"/>
        </w:rPr>
      </w:pPr>
      <w:r w:rsidRPr="007755DC">
        <w:rPr>
          <w:lang w:val="en-GB"/>
        </w:rPr>
        <w:t xml:space="preserve">Look for a legally sound solution (compliant with the current legal framework) supporting a proportionate harmonisation effort in line with the data prioritisation under MIWP Action 2.1. </w:t>
      </w:r>
    </w:p>
    <w:p w14:paraId="33290246" w14:textId="73035CAA" w:rsidR="005D2C09" w:rsidRPr="007755DC" w:rsidRDefault="003A2E38" w:rsidP="00D81BD2">
      <w:pPr>
        <w:numPr>
          <w:ilvl w:val="1"/>
          <w:numId w:val="11"/>
        </w:numPr>
        <w:rPr>
          <w:lang w:val="en-GB"/>
        </w:rPr>
      </w:pPr>
      <w:r w:rsidRPr="007755DC">
        <w:rPr>
          <w:lang w:val="en-GB"/>
        </w:rPr>
        <w:t xml:space="preserve">Possible options to explore: change calculation of the data compliance indicator in the reporting decision (legal change) / use “where practicable” for more targeted data harmonisation (build common understanding) </w:t>
      </w:r>
    </w:p>
    <w:sectPr w:rsidR="005D2C09" w:rsidRPr="007755DC" w:rsidSect="006112E9">
      <w:headerReference w:type="default" r:id="rId23"/>
      <w:footerReference w:type="default" r:id="rId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06409" w14:textId="77777777" w:rsidR="000D6366" w:rsidRDefault="000D6366" w:rsidP="00622B1F">
      <w:pPr>
        <w:spacing w:before="0" w:after="0" w:line="240" w:lineRule="auto"/>
      </w:pPr>
      <w:r>
        <w:separator/>
      </w:r>
    </w:p>
  </w:endnote>
  <w:endnote w:type="continuationSeparator" w:id="0">
    <w:p w14:paraId="42249BD5" w14:textId="77777777" w:rsidR="000D6366" w:rsidRDefault="000D6366" w:rsidP="00622B1F">
      <w:pPr>
        <w:spacing w:before="0" w:after="0" w:line="240" w:lineRule="auto"/>
      </w:pPr>
      <w:r>
        <w:continuationSeparator/>
      </w:r>
    </w:p>
  </w:endnote>
  <w:endnote w:type="continuationNotice" w:id="1">
    <w:p w14:paraId="3AE5CCF4" w14:textId="77777777" w:rsidR="000D6366" w:rsidRDefault="000D636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433207"/>
      <w:docPartObj>
        <w:docPartGallery w:val="Page Numbers (Bottom of Page)"/>
        <w:docPartUnique/>
      </w:docPartObj>
    </w:sdtPr>
    <w:sdtEndPr>
      <w:rPr>
        <w:noProof/>
      </w:rPr>
    </w:sdtEndPr>
    <w:sdtContent>
      <w:p w14:paraId="1903D0CF" w14:textId="3B709C6E" w:rsidR="0022472F" w:rsidRDefault="0022472F">
        <w:pPr>
          <w:pStyle w:val="Footer"/>
          <w:jc w:val="center"/>
        </w:pPr>
        <w:r>
          <w:fldChar w:fldCharType="begin"/>
        </w:r>
        <w:r>
          <w:instrText xml:space="preserve"> PAGE   \* MERGEFORMAT </w:instrText>
        </w:r>
        <w:r>
          <w:fldChar w:fldCharType="separate"/>
        </w:r>
        <w:r w:rsidR="003E2939">
          <w:rPr>
            <w:noProof/>
          </w:rPr>
          <w:t>11</w:t>
        </w:r>
        <w:r>
          <w:rPr>
            <w:noProof/>
          </w:rPr>
          <w:fldChar w:fldCharType="end"/>
        </w:r>
      </w:p>
    </w:sdtContent>
  </w:sdt>
  <w:p w14:paraId="3900F5DA" w14:textId="77777777" w:rsidR="0022472F" w:rsidRDefault="00224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1D087" w14:textId="77777777" w:rsidR="000D6366" w:rsidRDefault="000D6366" w:rsidP="00622B1F">
      <w:pPr>
        <w:spacing w:before="0" w:after="0" w:line="240" w:lineRule="auto"/>
      </w:pPr>
      <w:r>
        <w:separator/>
      </w:r>
    </w:p>
  </w:footnote>
  <w:footnote w:type="continuationSeparator" w:id="0">
    <w:p w14:paraId="0F7C513A" w14:textId="77777777" w:rsidR="000D6366" w:rsidRDefault="000D6366" w:rsidP="00622B1F">
      <w:pPr>
        <w:spacing w:before="0" w:after="0" w:line="240" w:lineRule="auto"/>
      </w:pPr>
      <w:r>
        <w:continuationSeparator/>
      </w:r>
    </w:p>
  </w:footnote>
  <w:footnote w:type="continuationNotice" w:id="1">
    <w:p w14:paraId="7F136EEC" w14:textId="77777777" w:rsidR="000D6366" w:rsidRDefault="000D6366">
      <w:pPr>
        <w:spacing w:before="0" w:after="0" w:line="240" w:lineRule="auto"/>
      </w:pPr>
    </w:p>
  </w:footnote>
  <w:footnote w:id="2">
    <w:p w14:paraId="3179E9B4" w14:textId="2BB73788" w:rsidR="00FD615A" w:rsidRPr="00F46597" w:rsidRDefault="00FD615A">
      <w:pPr>
        <w:pStyle w:val="FootnoteText"/>
        <w:rPr>
          <w:lang w:val="en-GB"/>
        </w:rPr>
      </w:pPr>
      <w:r>
        <w:rPr>
          <w:rStyle w:val="FootnoteReference"/>
        </w:rPr>
        <w:footnoteRef/>
      </w:r>
      <w:r>
        <w:t xml:space="preserve"> </w:t>
      </w:r>
      <w:r>
        <w:rPr>
          <w:lang w:val="en-GB"/>
        </w:rPr>
        <w:t xml:space="preserve">See e.g. </w:t>
      </w:r>
      <w:hyperlink r:id="rId1" w:history="1">
        <w:r w:rsidRPr="00BC7F0E">
          <w:rPr>
            <w:rStyle w:val="Hyperlink"/>
            <w:lang w:val="en-GB"/>
          </w:rPr>
          <w:t>https://webgate.ec.europa.eu/fpfis/wikis/pages/viewpage.action?pageId=712606761</w:t>
        </w:r>
      </w:hyperlink>
      <w:r>
        <w:rPr>
          <w:lang w:val="en-GB"/>
        </w:rPr>
        <w:t xml:space="preserve"> </w:t>
      </w:r>
    </w:p>
  </w:footnote>
  <w:footnote w:id="3">
    <w:p w14:paraId="1FA6CDEA" w14:textId="20BC372D" w:rsidR="002D3197" w:rsidRPr="002D3197" w:rsidRDefault="002D3197">
      <w:pPr>
        <w:pStyle w:val="FootnoteText"/>
        <w:rPr>
          <w:lang w:val="fr-BE"/>
        </w:rPr>
      </w:pPr>
      <w:r>
        <w:rPr>
          <w:rStyle w:val="FootnoteReference"/>
        </w:rPr>
        <w:footnoteRef/>
      </w:r>
      <w:r>
        <w:t xml:space="preserve"> </w:t>
      </w:r>
      <w:r>
        <w:rPr>
          <w:lang w:val="fr-BE"/>
        </w:rPr>
        <w:t xml:space="preserve">Harmonised data = data that follows INSPIRE data specification guidelines ; non-harmonised data = data in its original structure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F4EF1" w14:textId="11DBE4F7" w:rsidR="0022472F" w:rsidRDefault="00461787" w:rsidP="0061594C">
    <w:pPr>
      <w:pStyle w:val="Header"/>
      <w:jc w:val="right"/>
    </w:pPr>
    <w:r>
      <w:rPr>
        <w:rFonts w:ascii="Arial" w:hAnsi="Arial" w:cs="Arial"/>
        <w:b/>
        <w:sz w:val="20"/>
        <w:szCs w:val="20"/>
        <w:lang w:eastAsia="zh-CN"/>
      </w:rPr>
      <w:t>MIG13/</w:t>
    </w:r>
    <w:r w:rsidR="0022472F">
      <w:rPr>
        <w:rFonts w:ascii="Arial" w:hAnsi="Arial" w:cs="Arial"/>
        <w:b/>
        <w:sz w:val="20"/>
        <w:szCs w:val="20"/>
        <w:lang w:eastAsia="zh-CN"/>
      </w:rPr>
      <w:t>DOC</w:t>
    </w:r>
    <w:r>
      <w:rPr>
        <w:rFonts w:ascii="Arial" w:hAnsi="Arial" w:cs="Arial"/>
        <w:b/>
        <w:sz w:val="20"/>
        <w:szCs w:val="20"/>
        <w:lang w:eastAsia="zh-CN"/>
      </w:rPr>
      <w:t>4</w:t>
    </w:r>
    <w:r w:rsidR="00667F00">
      <w:rPr>
        <w:rFonts w:ascii="Arial" w:hAnsi="Arial" w:cs="Arial"/>
        <w:b/>
        <w:sz w:val="20"/>
        <w:szCs w:val="20"/>
        <w:lang w:eastAsia="zh-CN"/>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5148F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2"/>
    <w:name w:val="WW8Num2"/>
    <w:lvl w:ilvl="0">
      <w:start w:val="1"/>
      <w:numFmt w:val="bullet"/>
      <w:pStyle w:val="ListBullet5"/>
      <w:lvlText w:val=""/>
      <w:lvlJc w:val="left"/>
      <w:pPr>
        <w:tabs>
          <w:tab w:val="num" w:pos="1492"/>
        </w:tabs>
        <w:ind w:left="1492" w:hanging="360"/>
      </w:pPr>
      <w:rPr>
        <w:rFonts w:ascii="Symbol" w:hAnsi="Symbol"/>
      </w:rPr>
    </w:lvl>
  </w:abstractNum>
  <w:abstractNum w:abstractNumId="2" w15:restartNumberingAfterBreak="0">
    <w:nsid w:val="17584A35"/>
    <w:multiLevelType w:val="hybridMultilevel"/>
    <w:tmpl w:val="34307D2E"/>
    <w:lvl w:ilvl="0" w:tplc="C424475A">
      <w:start w:val="1"/>
      <w:numFmt w:val="bullet"/>
      <w:lvlText w:val="•"/>
      <w:lvlJc w:val="left"/>
      <w:pPr>
        <w:tabs>
          <w:tab w:val="num" w:pos="720"/>
        </w:tabs>
        <w:ind w:left="720" w:hanging="360"/>
      </w:pPr>
      <w:rPr>
        <w:rFonts w:ascii="Arial" w:hAnsi="Arial" w:hint="default"/>
      </w:rPr>
    </w:lvl>
    <w:lvl w:ilvl="1" w:tplc="A9107456">
      <w:start w:val="142"/>
      <w:numFmt w:val="bullet"/>
      <w:lvlText w:val="•"/>
      <w:lvlJc w:val="left"/>
      <w:pPr>
        <w:tabs>
          <w:tab w:val="num" w:pos="1440"/>
        </w:tabs>
        <w:ind w:left="1440" w:hanging="360"/>
      </w:pPr>
      <w:rPr>
        <w:rFonts w:ascii="Arial" w:hAnsi="Arial" w:hint="default"/>
      </w:rPr>
    </w:lvl>
    <w:lvl w:ilvl="2" w:tplc="735E8002" w:tentative="1">
      <w:start w:val="1"/>
      <w:numFmt w:val="bullet"/>
      <w:lvlText w:val="•"/>
      <w:lvlJc w:val="left"/>
      <w:pPr>
        <w:tabs>
          <w:tab w:val="num" w:pos="2160"/>
        </w:tabs>
        <w:ind w:left="2160" w:hanging="360"/>
      </w:pPr>
      <w:rPr>
        <w:rFonts w:ascii="Arial" w:hAnsi="Arial" w:hint="default"/>
      </w:rPr>
    </w:lvl>
    <w:lvl w:ilvl="3" w:tplc="4888130E" w:tentative="1">
      <w:start w:val="1"/>
      <w:numFmt w:val="bullet"/>
      <w:lvlText w:val="•"/>
      <w:lvlJc w:val="left"/>
      <w:pPr>
        <w:tabs>
          <w:tab w:val="num" w:pos="2880"/>
        </w:tabs>
        <w:ind w:left="2880" w:hanging="360"/>
      </w:pPr>
      <w:rPr>
        <w:rFonts w:ascii="Arial" w:hAnsi="Arial" w:hint="default"/>
      </w:rPr>
    </w:lvl>
    <w:lvl w:ilvl="4" w:tplc="41F0119A" w:tentative="1">
      <w:start w:val="1"/>
      <w:numFmt w:val="bullet"/>
      <w:lvlText w:val="•"/>
      <w:lvlJc w:val="left"/>
      <w:pPr>
        <w:tabs>
          <w:tab w:val="num" w:pos="3600"/>
        </w:tabs>
        <w:ind w:left="3600" w:hanging="360"/>
      </w:pPr>
      <w:rPr>
        <w:rFonts w:ascii="Arial" w:hAnsi="Arial" w:hint="default"/>
      </w:rPr>
    </w:lvl>
    <w:lvl w:ilvl="5" w:tplc="A5F88E56" w:tentative="1">
      <w:start w:val="1"/>
      <w:numFmt w:val="bullet"/>
      <w:lvlText w:val="•"/>
      <w:lvlJc w:val="left"/>
      <w:pPr>
        <w:tabs>
          <w:tab w:val="num" w:pos="4320"/>
        </w:tabs>
        <w:ind w:left="4320" w:hanging="360"/>
      </w:pPr>
      <w:rPr>
        <w:rFonts w:ascii="Arial" w:hAnsi="Arial" w:hint="default"/>
      </w:rPr>
    </w:lvl>
    <w:lvl w:ilvl="6" w:tplc="084CC2B8" w:tentative="1">
      <w:start w:val="1"/>
      <w:numFmt w:val="bullet"/>
      <w:lvlText w:val="•"/>
      <w:lvlJc w:val="left"/>
      <w:pPr>
        <w:tabs>
          <w:tab w:val="num" w:pos="5040"/>
        </w:tabs>
        <w:ind w:left="5040" w:hanging="360"/>
      </w:pPr>
      <w:rPr>
        <w:rFonts w:ascii="Arial" w:hAnsi="Arial" w:hint="default"/>
      </w:rPr>
    </w:lvl>
    <w:lvl w:ilvl="7" w:tplc="8D30CB8C" w:tentative="1">
      <w:start w:val="1"/>
      <w:numFmt w:val="bullet"/>
      <w:lvlText w:val="•"/>
      <w:lvlJc w:val="left"/>
      <w:pPr>
        <w:tabs>
          <w:tab w:val="num" w:pos="5760"/>
        </w:tabs>
        <w:ind w:left="5760" w:hanging="360"/>
      </w:pPr>
      <w:rPr>
        <w:rFonts w:ascii="Arial" w:hAnsi="Arial" w:hint="default"/>
      </w:rPr>
    </w:lvl>
    <w:lvl w:ilvl="8" w:tplc="50C2B5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A90665"/>
    <w:multiLevelType w:val="hybridMultilevel"/>
    <w:tmpl w:val="D65E5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BF6107"/>
    <w:multiLevelType w:val="hybridMultilevel"/>
    <w:tmpl w:val="1CA8B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FD1A1F"/>
    <w:multiLevelType w:val="hybridMultilevel"/>
    <w:tmpl w:val="B88C77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89C04BD"/>
    <w:multiLevelType w:val="hybridMultilevel"/>
    <w:tmpl w:val="F4C84C98"/>
    <w:lvl w:ilvl="0" w:tplc="E89C5646">
      <w:start w:val="1"/>
      <w:numFmt w:val="bullet"/>
      <w:lvlText w:val="•"/>
      <w:lvlJc w:val="left"/>
      <w:pPr>
        <w:tabs>
          <w:tab w:val="num" w:pos="720"/>
        </w:tabs>
        <w:ind w:left="720" w:hanging="360"/>
      </w:pPr>
      <w:rPr>
        <w:rFonts w:ascii="Arial" w:hAnsi="Arial" w:hint="default"/>
      </w:rPr>
    </w:lvl>
    <w:lvl w:ilvl="1" w:tplc="551EC9B0" w:tentative="1">
      <w:start w:val="1"/>
      <w:numFmt w:val="bullet"/>
      <w:lvlText w:val="•"/>
      <w:lvlJc w:val="left"/>
      <w:pPr>
        <w:tabs>
          <w:tab w:val="num" w:pos="1440"/>
        </w:tabs>
        <w:ind w:left="1440" w:hanging="360"/>
      </w:pPr>
      <w:rPr>
        <w:rFonts w:ascii="Arial" w:hAnsi="Arial" w:hint="default"/>
      </w:rPr>
    </w:lvl>
    <w:lvl w:ilvl="2" w:tplc="F628DF94" w:tentative="1">
      <w:start w:val="1"/>
      <w:numFmt w:val="bullet"/>
      <w:lvlText w:val="•"/>
      <w:lvlJc w:val="left"/>
      <w:pPr>
        <w:tabs>
          <w:tab w:val="num" w:pos="2160"/>
        </w:tabs>
        <w:ind w:left="2160" w:hanging="360"/>
      </w:pPr>
      <w:rPr>
        <w:rFonts w:ascii="Arial" w:hAnsi="Arial" w:hint="default"/>
      </w:rPr>
    </w:lvl>
    <w:lvl w:ilvl="3" w:tplc="CE506F6A" w:tentative="1">
      <w:start w:val="1"/>
      <w:numFmt w:val="bullet"/>
      <w:lvlText w:val="•"/>
      <w:lvlJc w:val="left"/>
      <w:pPr>
        <w:tabs>
          <w:tab w:val="num" w:pos="2880"/>
        </w:tabs>
        <w:ind w:left="2880" w:hanging="360"/>
      </w:pPr>
      <w:rPr>
        <w:rFonts w:ascii="Arial" w:hAnsi="Arial" w:hint="default"/>
      </w:rPr>
    </w:lvl>
    <w:lvl w:ilvl="4" w:tplc="B156C3BE" w:tentative="1">
      <w:start w:val="1"/>
      <w:numFmt w:val="bullet"/>
      <w:lvlText w:val="•"/>
      <w:lvlJc w:val="left"/>
      <w:pPr>
        <w:tabs>
          <w:tab w:val="num" w:pos="3600"/>
        </w:tabs>
        <w:ind w:left="3600" w:hanging="360"/>
      </w:pPr>
      <w:rPr>
        <w:rFonts w:ascii="Arial" w:hAnsi="Arial" w:hint="default"/>
      </w:rPr>
    </w:lvl>
    <w:lvl w:ilvl="5" w:tplc="0310C842" w:tentative="1">
      <w:start w:val="1"/>
      <w:numFmt w:val="bullet"/>
      <w:lvlText w:val="•"/>
      <w:lvlJc w:val="left"/>
      <w:pPr>
        <w:tabs>
          <w:tab w:val="num" w:pos="4320"/>
        </w:tabs>
        <w:ind w:left="4320" w:hanging="360"/>
      </w:pPr>
      <w:rPr>
        <w:rFonts w:ascii="Arial" w:hAnsi="Arial" w:hint="default"/>
      </w:rPr>
    </w:lvl>
    <w:lvl w:ilvl="6" w:tplc="2CC25B1E" w:tentative="1">
      <w:start w:val="1"/>
      <w:numFmt w:val="bullet"/>
      <w:lvlText w:val="•"/>
      <w:lvlJc w:val="left"/>
      <w:pPr>
        <w:tabs>
          <w:tab w:val="num" w:pos="5040"/>
        </w:tabs>
        <w:ind w:left="5040" w:hanging="360"/>
      </w:pPr>
      <w:rPr>
        <w:rFonts w:ascii="Arial" w:hAnsi="Arial" w:hint="default"/>
      </w:rPr>
    </w:lvl>
    <w:lvl w:ilvl="7" w:tplc="021A1652" w:tentative="1">
      <w:start w:val="1"/>
      <w:numFmt w:val="bullet"/>
      <w:lvlText w:val="•"/>
      <w:lvlJc w:val="left"/>
      <w:pPr>
        <w:tabs>
          <w:tab w:val="num" w:pos="5760"/>
        </w:tabs>
        <w:ind w:left="5760" w:hanging="360"/>
      </w:pPr>
      <w:rPr>
        <w:rFonts w:ascii="Arial" w:hAnsi="Arial" w:hint="default"/>
      </w:rPr>
    </w:lvl>
    <w:lvl w:ilvl="8" w:tplc="A1DC1A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1D778D"/>
    <w:multiLevelType w:val="hybridMultilevel"/>
    <w:tmpl w:val="608092DC"/>
    <w:lvl w:ilvl="0" w:tplc="66D6B6DC">
      <w:start w:val="1"/>
      <w:numFmt w:val="bullet"/>
      <w:lvlText w:val="•"/>
      <w:lvlJc w:val="left"/>
      <w:pPr>
        <w:tabs>
          <w:tab w:val="num" w:pos="720"/>
        </w:tabs>
        <w:ind w:left="720" w:hanging="360"/>
      </w:pPr>
      <w:rPr>
        <w:rFonts w:ascii="Arial" w:hAnsi="Arial" w:hint="default"/>
      </w:rPr>
    </w:lvl>
    <w:lvl w:ilvl="1" w:tplc="90688868" w:tentative="1">
      <w:start w:val="1"/>
      <w:numFmt w:val="bullet"/>
      <w:lvlText w:val="•"/>
      <w:lvlJc w:val="left"/>
      <w:pPr>
        <w:tabs>
          <w:tab w:val="num" w:pos="1440"/>
        </w:tabs>
        <w:ind w:left="1440" w:hanging="360"/>
      </w:pPr>
      <w:rPr>
        <w:rFonts w:ascii="Arial" w:hAnsi="Arial" w:hint="default"/>
      </w:rPr>
    </w:lvl>
    <w:lvl w:ilvl="2" w:tplc="79A89114" w:tentative="1">
      <w:start w:val="1"/>
      <w:numFmt w:val="bullet"/>
      <w:lvlText w:val="•"/>
      <w:lvlJc w:val="left"/>
      <w:pPr>
        <w:tabs>
          <w:tab w:val="num" w:pos="2160"/>
        </w:tabs>
        <w:ind w:left="2160" w:hanging="360"/>
      </w:pPr>
      <w:rPr>
        <w:rFonts w:ascii="Arial" w:hAnsi="Arial" w:hint="default"/>
      </w:rPr>
    </w:lvl>
    <w:lvl w:ilvl="3" w:tplc="0FD4BF74" w:tentative="1">
      <w:start w:val="1"/>
      <w:numFmt w:val="bullet"/>
      <w:lvlText w:val="•"/>
      <w:lvlJc w:val="left"/>
      <w:pPr>
        <w:tabs>
          <w:tab w:val="num" w:pos="2880"/>
        </w:tabs>
        <w:ind w:left="2880" w:hanging="360"/>
      </w:pPr>
      <w:rPr>
        <w:rFonts w:ascii="Arial" w:hAnsi="Arial" w:hint="default"/>
      </w:rPr>
    </w:lvl>
    <w:lvl w:ilvl="4" w:tplc="4EF8D446" w:tentative="1">
      <w:start w:val="1"/>
      <w:numFmt w:val="bullet"/>
      <w:lvlText w:val="•"/>
      <w:lvlJc w:val="left"/>
      <w:pPr>
        <w:tabs>
          <w:tab w:val="num" w:pos="3600"/>
        </w:tabs>
        <w:ind w:left="3600" w:hanging="360"/>
      </w:pPr>
      <w:rPr>
        <w:rFonts w:ascii="Arial" w:hAnsi="Arial" w:hint="default"/>
      </w:rPr>
    </w:lvl>
    <w:lvl w:ilvl="5" w:tplc="09927D8A" w:tentative="1">
      <w:start w:val="1"/>
      <w:numFmt w:val="bullet"/>
      <w:lvlText w:val="•"/>
      <w:lvlJc w:val="left"/>
      <w:pPr>
        <w:tabs>
          <w:tab w:val="num" w:pos="4320"/>
        </w:tabs>
        <w:ind w:left="4320" w:hanging="360"/>
      </w:pPr>
      <w:rPr>
        <w:rFonts w:ascii="Arial" w:hAnsi="Arial" w:hint="default"/>
      </w:rPr>
    </w:lvl>
    <w:lvl w:ilvl="6" w:tplc="782C8DBE" w:tentative="1">
      <w:start w:val="1"/>
      <w:numFmt w:val="bullet"/>
      <w:lvlText w:val="•"/>
      <w:lvlJc w:val="left"/>
      <w:pPr>
        <w:tabs>
          <w:tab w:val="num" w:pos="5040"/>
        </w:tabs>
        <w:ind w:left="5040" w:hanging="360"/>
      </w:pPr>
      <w:rPr>
        <w:rFonts w:ascii="Arial" w:hAnsi="Arial" w:hint="default"/>
      </w:rPr>
    </w:lvl>
    <w:lvl w:ilvl="7" w:tplc="239EB70E" w:tentative="1">
      <w:start w:val="1"/>
      <w:numFmt w:val="bullet"/>
      <w:lvlText w:val="•"/>
      <w:lvlJc w:val="left"/>
      <w:pPr>
        <w:tabs>
          <w:tab w:val="num" w:pos="5760"/>
        </w:tabs>
        <w:ind w:left="5760" w:hanging="360"/>
      </w:pPr>
      <w:rPr>
        <w:rFonts w:ascii="Arial" w:hAnsi="Arial" w:hint="default"/>
      </w:rPr>
    </w:lvl>
    <w:lvl w:ilvl="8" w:tplc="34E814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440B96"/>
    <w:multiLevelType w:val="hybridMultilevel"/>
    <w:tmpl w:val="3742605C"/>
    <w:lvl w:ilvl="0" w:tplc="330EECA6">
      <w:start w:val="1"/>
      <w:numFmt w:val="bullet"/>
      <w:lvlText w:val="•"/>
      <w:lvlJc w:val="left"/>
      <w:pPr>
        <w:tabs>
          <w:tab w:val="num" w:pos="720"/>
        </w:tabs>
        <w:ind w:left="720" w:hanging="360"/>
      </w:pPr>
      <w:rPr>
        <w:rFonts w:ascii="Arial" w:hAnsi="Arial" w:hint="default"/>
      </w:rPr>
    </w:lvl>
    <w:lvl w:ilvl="1" w:tplc="5044A09C">
      <w:start w:val="142"/>
      <w:numFmt w:val="bullet"/>
      <w:lvlText w:val="•"/>
      <w:lvlJc w:val="left"/>
      <w:pPr>
        <w:tabs>
          <w:tab w:val="num" w:pos="1440"/>
        </w:tabs>
        <w:ind w:left="1440" w:hanging="360"/>
      </w:pPr>
      <w:rPr>
        <w:rFonts w:ascii="Arial" w:hAnsi="Arial" w:hint="default"/>
      </w:rPr>
    </w:lvl>
    <w:lvl w:ilvl="2" w:tplc="2AE03F30" w:tentative="1">
      <w:start w:val="1"/>
      <w:numFmt w:val="bullet"/>
      <w:lvlText w:val="•"/>
      <w:lvlJc w:val="left"/>
      <w:pPr>
        <w:tabs>
          <w:tab w:val="num" w:pos="2160"/>
        </w:tabs>
        <w:ind w:left="2160" w:hanging="360"/>
      </w:pPr>
      <w:rPr>
        <w:rFonts w:ascii="Arial" w:hAnsi="Arial" w:hint="default"/>
      </w:rPr>
    </w:lvl>
    <w:lvl w:ilvl="3" w:tplc="71E841A4">
      <w:start w:val="142"/>
      <w:numFmt w:val="bullet"/>
      <w:lvlText w:val="•"/>
      <w:lvlJc w:val="left"/>
      <w:pPr>
        <w:tabs>
          <w:tab w:val="num" w:pos="2880"/>
        </w:tabs>
        <w:ind w:left="2880" w:hanging="360"/>
      </w:pPr>
      <w:rPr>
        <w:rFonts w:ascii="Arial" w:hAnsi="Arial" w:hint="default"/>
      </w:rPr>
    </w:lvl>
    <w:lvl w:ilvl="4" w:tplc="AAB6A4A8" w:tentative="1">
      <w:start w:val="1"/>
      <w:numFmt w:val="bullet"/>
      <w:lvlText w:val="•"/>
      <w:lvlJc w:val="left"/>
      <w:pPr>
        <w:tabs>
          <w:tab w:val="num" w:pos="3600"/>
        </w:tabs>
        <w:ind w:left="3600" w:hanging="360"/>
      </w:pPr>
      <w:rPr>
        <w:rFonts w:ascii="Arial" w:hAnsi="Arial" w:hint="default"/>
      </w:rPr>
    </w:lvl>
    <w:lvl w:ilvl="5" w:tplc="4142D932" w:tentative="1">
      <w:start w:val="1"/>
      <w:numFmt w:val="bullet"/>
      <w:lvlText w:val="•"/>
      <w:lvlJc w:val="left"/>
      <w:pPr>
        <w:tabs>
          <w:tab w:val="num" w:pos="4320"/>
        </w:tabs>
        <w:ind w:left="4320" w:hanging="360"/>
      </w:pPr>
      <w:rPr>
        <w:rFonts w:ascii="Arial" w:hAnsi="Arial" w:hint="default"/>
      </w:rPr>
    </w:lvl>
    <w:lvl w:ilvl="6" w:tplc="D432056A" w:tentative="1">
      <w:start w:val="1"/>
      <w:numFmt w:val="bullet"/>
      <w:lvlText w:val="•"/>
      <w:lvlJc w:val="left"/>
      <w:pPr>
        <w:tabs>
          <w:tab w:val="num" w:pos="5040"/>
        </w:tabs>
        <w:ind w:left="5040" w:hanging="360"/>
      </w:pPr>
      <w:rPr>
        <w:rFonts w:ascii="Arial" w:hAnsi="Arial" w:hint="default"/>
      </w:rPr>
    </w:lvl>
    <w:lvl w:ilvl="7" w:tplc="34EEFB62" w:tentative="1">
      <w:start w:val="1"/>
      <w:numFmt w:val="bullet"/>
      <w:lvlText w:val="•"/>
      <w:lvlJc w:val="left"/>
      <w:pPr>
        <w:tabs>
          <w:tab w:val="num" w:pos="5760"/>
        </w:tabs>
        <w:ind w:left="5760" w:hanging="360"/>
      </w:pPr>
      <w:rPr>
        <w:rFonts w:ascii="Arial" w:hAnsi="Arial" w:hint="default"/>
      </w:rPr>
    </w:lvl>
    <w:lvl w:ilvl="8" w:tplc="95DEFA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8529AE"/>
    <w:multiLevelType w:val="multilevel"/>
    <w:tmpl w:val="DE4CB1D6"/>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652"/>
        </w:tabs>
        <w:ind w:left="652" w:hanging="652"/>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CD9692E"/>
    <w:multiLevelType w:val="hybridMultilevel"/>
    <w:tmpl w:val="386257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1"/>
  </w:num>
  <w:num w:numId="5">
    <w:abstractNumId w:val="4"/>
  </w:num>
  <w:num w:numId="6">
    <w:abstractNumId w:val="10"/>
  </w:num>
  <w:num w:numId="7">
    <w:abstractNumId w:val="5"/>
  </w:num>
  <w:num w:numId="8">
    <w:abstractNumId w:val="7"/>
  </w:num>
  <w:num w:numId="9">
    <w:abstractNumId w:val="8"/>
  </w:num>
  <w:num w:numId="10">
    <w:abstractNumId w:val="6"/>
  </w:num>
  <w:num w:numId="1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BE" w:vendorID="64" w:dllVersion="131078" w:nlCheck="1" w:checkStyle="0"/>
  <w:activeWritingStyle w:appName="MSWord" w:lang="en-GB" w:vendorID="64" w:dllVersion="131078" w:nlCheck="1" w:checkStyle="1"/>
  <w:activeWritingStyle w:appName="MSWord" w:lang="en-US" w:vendorID="64" w:dllVersion="131078" w:nlCheck="1" w:checkStyle="1"/>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BC73A7"/>
    <w:rsid w:val="0000224C"/>
    <w:rsid w:val="00012467"/>
    <w:rsid w:val="00012559"/>
    <w:rsid w:val="00013F7F"/>
    <w:rsid w:val="00017F0B"/>
    <w:rsid w:val="00024727"/>
    <w:rsid w:val="00031A0F"/>
    <w:rsid w:val="0003215C"/>
    <w:rsid w:val="000331C1"/>
    <w:rsid w:val="00033207"/>
    <w:rsid w:val="00035C24"/>
    <w:rsid w:val="00050128"/>
    <w:rsid w:val="0005016E"/>
    <w:rsid w:val="0005311F"/>
    <w:rsid w:val="000541F8"/>
    <w:rsid w:val="00055ECB"/>
    <w:rsid w:val="00057F4C"/>
    <w:rsid w:val="00063829"/>
    <w:rsid w:val="00063ADE"/>
    <w:rsid w:val="000650F0"/>
    <w:rsid w:val="000731A4"/>
    <w:rsid w:val="00075083"/>
    <w:rsid w:val="000754B1"/>
    <w:rsid w:val="00077CF1"/>
    <w:rsid w:val="00080C00"/>
    <w:rsid w:val="000860E3"/>
    <w:rsid w:val="000913C5"/>
    <w:rsid w:val="00095EA1"/>
    <w:rsid w:val="000A32D8"/>
    <w:rsid w:val="000A57EE"/>
    <w:rsid w:val="000B312C"/>
    <w:rsid w:val="000B63BE"/>
    <w:rsid w:val="000B695C"/>
    <w:rsid w:val="000C09CA"/>
    <w:rsid w:val="000C2C3A"/>
    <w:rsid w:val="000C5254"/>
    <w:rsid w:val="000C70EC"/>
    <w:rsid w:val="000D4941"/>
    <w:rsid w:val="000D6366"/>
    <w:rsid w:val="000E4316"/>
    <w:rsid w:val="000E45B1"/>
    <w:rsid w:val="000F579D"/>
    <w:rsid w:val="000F6A14"/>
    <w:rsid w:val="001000F1"/>
    <w:rsid w:val="00100B97"/>
    <w:rsid w:val="00100FA5"/>
    <w:rsid w:val="001073D3"/>
    <w:rsid w:val="001129AB"/>
    <w:rsid w:val="00114F4F"/>
    <w:rsid w:val="0012040C"/>
    <w:rsid w:val="00127102"/>
    <w:rsid w:val="0013017A"/>
    <w:rsid w:val="00132A2F"/>
    <w:rsid w:val="00133D1E"/>
    <w:rsid w:val="001405F0"/>
    <w:rsid w:val="00141003"/>
    <w:rsid w:val="0014211A"/>
    <w:rsid w:val="001537E8"/>
    <w:rsid w:val="00163F7C"/>
    <w:rsid w:val="00165B5C"/>
    <w:rsid w:val="001678D7"/>
    <w:rsid w:val="0017699E"/>
    <w:rsid w:val="00176F3D"/>
    <w:rsid w:val="00177A66"/>
    <w:rsid w:val="00194F69"/>
    <w:rsid w:val="001A4B16"/>
    <w:rsid w:val="001A577F"/>
    <w:rsid w:val="001B5170"/>
    <w:rsid w:val="001B6D4A"/>
    <w:rsid w:val="001C3DC2"/>
    <w:rsid w:val="001C3F50"/>
    <w:rsid w:val="001C6277"/>
    <w:rsid w:val="001C6800"/>
    <w:rsid w:val="001D0A47"/>
    <w:rsid w:val="001D6A65"/>
    <w:rsid w:val="001E193A"/>
    <w:rsid w:val="001F0FF4"/>
    <w:rsid w:val="001F737A"/>
    <w:rsid w:val="0020167C"/>
    <w:rsid w:val="00211E6C"/>
    <w:rsid w:val="00212A12"/>
    <w:rsid w:val="0021306F"/>
    <w:rsid w:val="002132BF"/>
    <w:rsid w:val="002176F9"/>
    <w:rsid w:val="0022472F"/>
    <w:rsid w:val="00225495"/>
    <w:rsid w:val="00230451"/>
    <w:rsid w:val="002429FD"/>
    <w:rsid w:val="00244864"/>
    <w:rsid w:val="00245913"/>
    <w:rsid w:val="002466EF"/>
    <w:rsid w:val="00252C02"/>
    <w:rsid w:val="00257659"/>
    <w:rsid w:val="002578E3"/>
    <w:rsid w:val="00264EEE"/>
    <w:rsid w:val="002650D3"/>
    <w:rsid w:val="00271775"/>
    <w:rsid w:val="00285C6C"/>
    <w:rsid w:val="002A2199"/>
    <w:rsid w:val="002A426C"/>
    <w:rsid w:val="002A760A"/>
    <w:rsid w:val="002B0AEE"/>
    <w:rsid w:val="002B1E75"/>
    <w:rsid w:val="002B215B"/>
    <w:rsid w:val="002B4AD3"/>
    <w:rsid w:val="002B6B37"/>
    <w:rsid w:val="002B7756"/>
    <w:rsid w:val="002C05D9"/>
    <w:rsid w:val="002C0926"/>
    <w:rsid w:val="002C65C8"/>
    <w:rsid w:val="002D3197"/>
    <w:rsid w:val="002D55D5"/>
    <w:rsid w:val="002E05EA"/>
    <w:rsid w:val="002E2133"/>
    <w:rsid w:val="002E2F1E"/>
    <w:rsid w:val="002E3BA4"/>
    <w:rsid w:val="002E4848"/>
    <w:rsid w:val="002E6088"/>
    <w:rsid w:val="002F5AD9"/>
    <w:rsid w:val="002F7039"/>
    <w:rsid w:val="00305B91"/>
    <w:rsid w:val="00306106"/>
    <w:rsid w:val="003068CD"/>
    <w:rsid w:val="00311168"/>
    <w:rsid w:val="003166D2"/>
    <w:rsid w:val="0031787D"/>
    <w:rsid w:val="00317903"/>
    <w:rsid w:val="00323D65"/>
    <w:rsid w:val="00323D84"/>
    <w:rsid w:val="00327C68"/>
    <w:rsid w:val="0033394C"/>
    <w:rsid w:val="003505EC"/>
    <w:rsid w:val="00354154"/>
    <w:rsid w:val="0035643A"/>
    <w:rsid w:val="00361AB8"/>
    <w:rsid w:val="00365D1B"/>
    <w:rsid w:val="00365D51"/>
    <w:rsid w:val="00366377"/>
    <w:rsid w:val="003678D6"/>
    <w:rsid w:val="00370FCE"/>
    <w:rsid w:val="00372798"/>
    <w:rsid w:val="003766BC"/>
    <w:rsid w:val="00382DA0"/>
    <w:rsid w:val="00387818"/>
    <w:rsid w:val="00387D30"/>
    <w:rsid w:val="00393F8A"/>
    <w:rsid w:val="00395931"/>
    <w:rsid w:val="003A02FF"/>
    <w:rsid w:val="003A2E38"/>
    <w:rsid w:val="003A391F"/>
    <w:rsid w:val="003A7281"/>
    <w:rsid w:val="003B22CF"/>
    <w:rsid w:val="003B51DB"/>
    <w:rsid w:val="003B6108"/>
    <w:rsid w:val="003B7810"/>
    <w:rsid w:val="003C3747"/>
    <w:rsid w:val="003C3FB1"/>
    <w:rsid w:val="003C5832"/>
    <w:rsid w:val="003C61CD"/>
    <w:rsid w:val="003C7D43"/>
    <w:rsid w:val="003E2939"/>
    <w:rsid w:val="003F1C45"/>
    <w:rsid w:val="003F2BE6"/>
    <w:rsid w:val="00406A5F"/>
    <w:rsid w:val="0042270C"/>
    <w:rsid w:val="004241D4"/>
    <w:rsid w:val="004241DC"/>
    <w:rsid w:val="00427C2F"/>
    <w:rsid w:val="00433EDF"/>
    <w:rsid w:val="00440632"/>
    <w:rsid w:val="00441FCF"/>
    <w:rsid w:val="00442646"/>
    <w:rsid w:val="004434DE"/>
    <w:rsid w:val="00444A9E"/>
    <w:rsid w:val="00446C99"/>
    <w:rsid w:val="004472EE"/>
    <w:rsid w:val="00453D84"/>
    <w:rsid w:val="0045412C"/>
    <w:rsid w:val="004542C3"/>
    <w:rsid w:val="004545BF"/>
    <w:rsid w:val="00456314"/>
    <w:rsid w:val="00460B06"/>
    <w:rsid w:val="00461787"/>
    <w:rsid w:val="004716E7"/>
    <w:rsid w:val="0047363B"/>
    <w:rsid w:val="00477879"/>
    <w:rsid w:val="0048295F"/>
    <w:rsid w:val="00482C98"/>
    <w:rsid w:val="00483E86"/>
    <w:rsid w:val="00495333"/>
    <w:rsid w:val="004960C9"/>
    <w:rsid w:val="004A0DFB"/>
    <w:rsid w:val="004A118C"/>
    <w:rsid w:val="004B046D"/>
    <w:rsid w:val="004B0C61"/>
    <w:rsid w:val="004B460B"/>
    <w:rsid w:val="004C6F42"/>
    <w:rsid w:val="004D282E"/>
    <w:rsid w:val="004D5EA7"/>
    <w:rsid w:val="004E2209"/>
    <w:rsid w:val="004F037A"/>
    <w:rsid w:val="004F143A"/>
    <w:rsid w:val="004F1788"/>
    <w:rsid w:val="00501940"/>
    <w:rsid w:val="005142DB"/>
    <w:rsid w:val="00515BBA"/>
    <w:rsid w:val="005176DD"/>
    <w:rsid w:val="00521C2F"/>
    <w:rsid w:val="00521FAF"/>
    <w:rsid w:val="00522C9F"/>
    <w:rsid w:val="005255C6"/>
    <w:rsid w:val="00536AE5"/>
    <w:rsid w:val="00541232"/>
    <w:rsid w:val="0054252D"/>
    <w:rsid w:val="00542BDA"/>
    <w:rsid w:val="00543D89"/>
    <w:rsid w:val="00554547"/>
    <w:rsid w:val="00562876"/>
    <w:rsid w:val="00564C3E"/>
    <w:rsid w:val="00565307"/>
    <w:rsid w:val="00572A5D"/>
    <w:rsid w:val="00575218"/>
    <w:rsid w:val="00576292"/>
    <w:rsid w:val="0058058C"/>
    <w:rsid w:val="00584272"/>
    <w:rsid w:val="00584DFA"/>
    <w:rsid w:val="00586169"/>
    <w:rsid w:val="00594D5C"/>
    <w:rsid w:val="005965CB"/>
    <w:rsid w:val="005A3614"/>
    <w:rsid w:val="005A5206"/>
    <w:rsid w:val="005B1273"/>
    <w:rsid w:val="005B5912"/>
    <w:rsid w:val="005B5D18"/>
    <w:rsid w:val="005D0083"/>
    <w:rsid w:val="005D2C09"/>
    <w:rsid w:val="005D377C"/>
    <w:rsid w:val="005D47F8"/>
    <w:rsid w:val="005E20A9"/>
    <w:rsid w:val="00600ECC"/>
    <w:rsid w:val="00601875"/>
    <w:rsid w:val="00604C32"/>
    <w:rsid w:val="006112E9"/>
    <w:rsid w:val="006132D5"/>
    <w:rsid w:val="0061594C"/>
    <w:rsid w:val="00617974"/>
    <w:rsid w:val="0062061E"/>
    <w:rsid w:val="006208BF"/>
    <w:rsid w:val="0062250F"/>
    <w:rsid w:val="0062282F"/>
    <w:rsid w:val="00622B1F"/>
    <w:rsid w:val="006234F0"/>
    <w:rsid w:val="006270C6"/>
    <w:rsid w:val="0063074B"/>
    <w:rsid w:val="00633CE6"/>
    <w:rsid w:val="006426DA"/>
    <w:rsid w:val="00647E5D"/>
    <w:rsid w:val="00650D0F"/>
    <w:rsid w:val="00661119"/>
    <w:rsid w:val="00662F8D"/>
    <w:rsid w:val="00664EBD"/>
    <w:rsid w:val="00666C47"/>
    <w:rsid w:val="0066761D"/>
    <w:rsid w:val="006678EA"/>
    <w:rsid w:val="00667F00"/>
    <w:rsid w:val="00670396"/>
    <w:rsid w:val="00671C05"/>
    <w:rsid w:val="00677D42"/>
    <w:rsid w:val="0068599F"/>
    <w:rsid w:val="00687834"/>
    <w:rsid w:val="0068788B"/>
    <w:rsid w:val="006914E7"/>
    <w:rsid w:val="0069278F"/>
    <w:rsid w:val="00693711"/>
    <w:rsid w:val="006A0ACD"/>
    <w:rsid w:val="006A2CE0"/>
    <w:rsid w:val="006A46D2"/>
    <w:rsid w:val="006A4C86"/>
    <w:rsid w:val="006A5CCC"/>
    <w:rsid w:val="006B53A3"/>
    <w:rsid w:val="006C5AA8"/>
    <w:rsid w:val="006C7DF8"/>
    <w:rsid w:val="006D175E"/>
    <w:rsid w:val="006D2161"/>
    <w:rsid w:val="006D4255"/>
    <w:rsid w:val="006D485E"/>
    <w:rsid w:val="006D4B8E"/>
    <w:rsid w:val="006E7E70"/>
    <w:rsid w:val="006F5371"/>
    <w:rsid w:val="00704FF2"/>
    <w:rsid w:val="007066BB"/>
    <w:rsid w:val="007124BD"/>
    <w:rsid w:val="00725D50"/>
    <w:rsid w:val="00743681"/>
    <w:rsid w:val="00753125"/>
    <w:rsid w:val="00761670"/>
    <w:rsid w:val="00764EFC"/>
    <w:rsid w:val="00765472"/>
    <w:rsid w:val="00770F64"/>
    <w:rsid w:val="00772E99"/>
    <w:rsid w:val="00773F39"/>
    <w:rsid w:val="00774BB3"/>
    <w:rsid w:val="007755DC"/>
    <w:rsid w:val="007814EA"/>
    <w:rsid w:val="007816CA"/>
    <w:rsid w:val="00785E0E"/>
    <w:rsid w:val="00786289"/>
    <w:rsid w:val="007863A4"/>
    <w:rsid w:val="00786D6C"/>
    <w:rsid w:val="00790228"/>
    <w:rsid w:val="00790706"/>
    <w:rsid w:val="00791797"/>
    <w:rsid w:val="0079489E"/>
    <w:rsid w:val="00796C63"/>
    <w:rsid w:val="007A1AE2"/>
    <w:rsid w:val="007A2CFC"/>
    <w:rsid w:val="007A3A9F"/>
    <w:rsid w:val="007A5294"/>
    <w:rsid w:val="007B0CD1"/>
    <w:rsid w:val="007B2306"/>
    <w:rsid w:val="007C2B86"/>
    <w:rsid w:val="007C7952"/>
    <w:rsid w:val="007D613E"/>
    <w:rsid w:val="007E5635"/>
    <w:rsid w:val="008075A3"/>
    <w:rsid w:val="00815EC3"/>
    <w:rsid w:val="008239F4"/>
    <w:rsid w:val="00823A03"/>
    <w:rsid w:val="00827EB9"/>
    <w:rsid w:val="00831B57"/>
    <w:rsid w:val="008322A8"/>
    <w:rsid w:val="008345B7"/>
    <w:rsid w:val="00834677"/>
    <w:rsid w:val="00845765"/>
    <w:rsid w:val="008459C1"/>
    <w:rsid w:val="00850B3B"/>
    <w:rsid w:val="008511FC"/>
    <w:rsid w:val="00854831"/>
    <w:rsid w:val="0086657B"/>
    <w:rsid w:val="00871183"/>
    <w:rsid w:val="0087168F"/>
    <w:rsid w:val="008759BB"/>
    <w:rsid w:val="00882427"/>
    <w:rsid w:val="00887E86"/>
    <w:rsid w:val="00894BD2"/>
    <w:rsid w:val="008A536B"/>
    <w:rsid w:val="008B414C"/>
    <w:rsid w:val="008E0407"/>
    <w:rsid w:val="008E2173"/>
    <w:rsid w:val="008E450D"/>
    <w:rsid w:val="008E4932"/>
    <w:rsid w:val="008E7A67"/>
    <w:rsid w:val="008F15D0"/>
    <w:rsid w:val="008F1B18"/>
    <w:rsid w:val="008F47F9"/>
    <w:rsid w:val="008F5E71"/>
    <w:rsid w:val="009002B8"/>
    <w:rsid w:val="00911402"/>
    <w:rsid w:val="0091606A"/>
    <w:rsid w:val="00932DAF"/>
    <w:rsid w:val="00932DB5"/>
    <w:rsid w:val="009339DA"/>
    <w:rsid w:val="00935992"/>
    <w:rsid w:val="00942B1E"/>
    <w:rsid w:val="00943485"/>
    <w:rsid w:val="00945FD7"/>
    <w:rsid w:val="009462C6"/>
    <w:rsid w:val="00947F5D"/>
    <w:rsid w:val="009515FA"/>
    <w:rsid w:val="00955C26"/>
    <w:rsid w:val="00963CE9"/>
    <w:rsid w:val="009648B4"/>
    <w:rsid w:val="00966D47"/>
    <w:rsid w:val="00970183"/>
    <w:rsid w:val="009707E9"/>
    <w:rsid w:val="00971579"/>
    <w:rsid w:val="00972AA7"/>
    <w:rsid w:val="00981A0B"/>
    <w:rsid w:val="0098237C"/>
    <w:rsid w:val="00982679"/>
    <w:rsid w:val="00982D4D"/>
    <w:rsid w:val="009901D6"/>
    <w:rsid w:val="00991087"/>
    <w:rsid w:val="00997422"/>
    <w:rsid w:val="009A4C37"/>
    <w:rsid w:val="009A5FC3"/>
    <w:rsid w:val="009C13DC"/>
    <w:rsid w:val="009C45F2"/>
    <w:rsid w:val="009D088F"/>
    <w:rsid w:val="009E1861"/>
    <w:rsid w:val="009E48F6"/>
    <w:rsid w:val="009E626E"/>
    <w:rsid w:val="009E7E5B"/>
    <w:rsid w:val="009F4BE9"/>
    <w:rsid w:val="00A018A7"/>
    <w:rsid w:val="00A04F90"/>
    <w:rsid w:val="00A057C4"/>
    <w:rsid w:val="00A0623A"/>
    <w:rsid w:val="00A12F41"/>
    <w:rsid w:val="00A14534"/>
    <w:rsid w:val="00A17189"/>
    <w:rsid w:val="00A206CB"/>
    <w:rsid w:val="00A22142"/>
    <w:rsid w:val="00A22741"/>
    <w:rsid w:val="00A322C2"/>
    <w:rsid w:val="00A41C6F"/>
    <w:rsid w:val="00A4520F"/>
    <w:rsid w:val="00A537F3"/>
    <w:rsid w:val="00A60652"/>
    <w:rsid w:val="00A71F36"/>
    <w:rsid w:val="00A75433"/>
    <w:rsid w:val="00A80364"/>
    <w:rsid w:val="00A82271"/>
    <w:rsid w:val="00A9171B"/>
    <w:rsid w:val="00A92A2C"/>
    <w:rsid w:val="00A939DC"/>
    <w:rsid w:val="00A939F6"/>
    <w:rsid w:val="00A964B4"/>
    <w:rsid w:val="00AA1C25"/>
    <w:rsid w:val="00AA2DFF"/>
    <w:rsid w:val="00AA7389"/>
    <w:rsid w:val="00AB5270"/>
    <w:rsid w:val="00AC1001"/>
    <w:rsid w:val="00AC18F7"/>
    <w:rsid w:val="00AC536F"/>
    <w:rsid w:val="00AE30B0"/>
    <w:rsid w:val="00AE61F5"/>
    <w:rsid w:val="00AE6FD0"/>
    <w:rsid w:val="00AE76B4"/>
    <w:rsid w:val="00AF16B8"/>
    <w:rsid w:val="00AF2D4C"/>
    <w:rsid w:val="00B01088"/>
    <w:rsid w:val="00B14690"/>
    <w:rsid w:val="00B20356"/>
    <w:rsid w:val="00B217BC"/>
    <w:rsid w:val="00B221E9"/>
    <w:rsid w:val="00B2308B"/>
    <w:rsid w:val="00B24DC5"/>
    <w:rsid w:val="00B36793"/>
    <w:rsid w:val="00B42C77"/>
    <w:rsid w:val="00B44F25"/>
    <w:rsid w:val="00B5049C"/>
    <w:rsid w:val="00B508D1"/>
    <w:rsid w:val="00B51D7F"/>
    <w:rsid w:val="00B52A74"/>
    <w:rsid w:val="00B54BC6"/>
    <w:rsid w:val="00B54DF1"/>
    <w:rsid w:val="00B5541E"/>
    <w:rsid w:val="00B55E0E"/>
    <w:rsid w:val="00B61287"/>
    <w:rsid w:val="00B61B05"/>
    <w:rsid w:val="00B64CD2"/>
    <w:rsid w:val="00B67828"/>
    <w:rsid w:val="00B72C31"/>
    <w:rsid w:val="00B767F2"/>
    <w:rsid w:val="00B80A67"/>
    <w:rsid w:val="00B84F0A"/>
    <w:rsid w:val="00B912C8"/>
    <w:rsid w:val="00B969CE"/>
    <w:rsid w:val="00B97580"/>
    <w:rsid w:val="00B97E5E"/>
    <w:rsid w:val="00BA2A8A"/>
    <w:rsid w:val="00BA39BB"/>
    <w:rsid w:val="00BB06FB"/>
    <w:rsid w:val="00BB6925"/>
    <w:rsid w:val="00BC10F5"/>
    <w:rsid w:val="00BC2991"/>
    <w:rsid w:val="00BC73A7"/>
    <w:rsid w:val="00BD0315"/>
    <w:rsid w:val="00BD1421"/>
    <w:rsid w:val="00BE1992"/>
    <w:rsid w:val="00BE469D"/>
    <w:rsid w:val="00BE6370"/>
    <w:rsid w:val="00BF1B5B"/>
    <w:rsid w:val="00BF25DC"/>
    <w:rsid w:val="00BF54C5"/>
    <w:rsid w:val="00C01BCD"/>
    <w:rsid w:val="00C102C6"/>
    <w:rsid w:val="00C12D1C"/>
    <w:rsid w:val="00C12D29"/>
    <w:rsid w:val="00C17D66"/>
    <w:rsid w:val="00C229D5"/>
    <w:rsid w:val="00C33585"/>
    <w:rsid w:val="00C336D4"/>
    <w:rsid w:val="00C34D34"/>
    <w:rsid w:val="00C4212D"/>
    <w:rsid w:val="00C44D16"/>
    <w:rsid w:val="00C50B6D"/>
    <w:rsid w:val="00C54B03"/>
    <w:rsid w:val="00C62A69"/>
    <w:rsid w:val="00C654E0"/>
    <w:rsid w:val="00C66282"/>
    <w:rsid w:val="00C712EB"/>
    <w:rsid w:val="00C71413"/>
    <w:rsid w:val="00C75E9F"/>
    <w:rsid w:val="00C80C80"/>
    <w:rsid w:val="00C814C7"/>
    <w:rsid w:val="00C928E8"/>
    <w:rsid w:val="00C950CF"/>
    <w:rsid w:val="00C971D2"/>
    <w:rsid w:val="00CA3C4C"/>
    <w:rsid w:val="00CB0DE0"/>
    <w:rsid w:val="00CB2D69"/>
    <w:rsid w:val="00CB38CC"/>
    <w:rsid w:val="00CB4153"/>
    <w:rsid w:val="00CB549F"/>
    <w:rsid w:val="00CB695C"/>
    <w:rsid w:val="00CC039A"/>
    <w:rsid w:val="00CC50F7"/>
    <w:rsid w:val="00CC7EB1"/>
    <w:rsid w:val="00CD080B"/>
    <w:rsid w:val="00CD3013"/>
    <w:rsid w:val="00CF5CE0"/>
    <w:rsid w:val="00CF66CA"/>
    <w:rsid w:val="00D00562"/>
    <w:rsid w:val="00D116F0"/>
    <w:rsid w:val="00D13BA9"/>
    <w:rsid w:val="00D22E1E"/>
    <w:rsid w:val="00D236D5"/>
    <w:rsid w:val="00D3376C"/>
    <w:rsid w:val="00D35A3E"/>
    <w:rsid w:val="00D35EE5"/>
    <w:rsid w:val="00D37577"/>
    <w:rsid w:val="00D37C2B"/>
    <w:rsid w:val="00D37C3F"/>
    <w:rsid w:val="00D419A3"/>
    <w:rsid w:val="00D447E9"/>
    <w:rsid w:val="00D5423D"/>
    <w:rsid w:val="00D600CF"/>
    <w:rsid w:val="00D62ECF"/>
    <w:rsid w:val="00D636CB"/>
    <w:rsid w:val="00D71E0A"/>
    <w:rsid w:val="00D80689"/>
    <w:rsid w:val="00D83C9A"/>
    <w:rsid w:val="00D949F4"/>
    <w:rsid w:val="00D965A1"/>
    <w:rsid w:val="00D974DB"/>
    <w:rsid w:val="00D9751E"/>
    <w:rsid w:val="00D9766C"/>
    <w:rsid w:val="00DA4CA2"/>
    <w:rsid w:val="00DA75BF"/>
    <w:rsid w:val="00DB172C"/>
    <w:rsid w:val="00DB4BFD"/>
    <w:rsid w:val="00DC114D"/>
    <w:rsid w:val="00DD1951"/>
    <w:rsid w:val="00DD33C9"/>
    <w:rsid w:val="00DE334B"/>
    <w:rsid w:val="00DE6805"/>
    <w:rsid w:val="00DF0EE9"/>
    <w:rsid w:val="00DF334C"/>
    <w:rsid w:val="00E02206"/>
    <w:rsid w:val="00E04C30"/>
    <w:rsid w:val="00E102D1"/>
    <w:rsid w:val="00E12C7B"/>
    <w:rsid w:val="00E136F8"/>
    <w:rsid w:val="00E246A5"/>
    <w:rsid w:val="00E24929"/>
    <w:rsid w:val="00E26598"/>
    <w:rsid w:val="00E30241"/>
    <w:rsid w:val="00E403EB"/>
    <w:rsid w:val="00E411A3"/>
    <w:rsid w:val="00E41D67"/>
    <w:rsid w:val="00E46311"/>
    <w:rsid w:val="00E47E5B"/>
    <w:rsid w:val="00E5002B"/>
    <w:rsid w:val="00E51E4B"/>
    <w:rsid w:val="00E63CFA"/>
    <w:rsid w:val="00E70813"/>
    <w:rsid w:val="00E7202D"/>
    <w:rsid w:val="00E75F64"/>
    <w:rsid w:val="00E803A9"/>
    <w:rsid w:val="00E8172C"/>
    <w:rsid w:val="00E85492"/>
    <w:rsid w:val="00E92F81"/>
    <w:rsid w:val="00E94BFA"/>
    <w:rsid w:val="00E94E1E"/>
    <w:rsid w:val="00EA7EED"/>
    <w:rsid w:val="00EB52F1"/>
    <w:rsid w:val="00EB7DD7"/>
    <w:rsid w:val="00EC152C"/>
    <w:rsid w:val="00EC596C"/>
    <w:rsid w:val="00EC7396"/>
    <w:rsid w:val="00ED185F"/>
    <w:rsid w:val="00ED53D7"/>
    <w:rsid w:val="00EE0EB1"/>
    <w:rsid w:val="00EE6716"/>
    <w:rsid w:val="00EE67DB"/>
    <w:rsid w:val="00EF31F4"/>
    <w:rsid w:val="00F0172A"/>
    <w:rsid w:val="00F03397"/>
    <w:rsid w:val="00F05C62"/>
    <w:rsid w:val="00F06DF0"/>
    <w:rsid w:val="00F16D03"/>
    <w:rsid w:val="00F34CEF"/>
    <w:rsid w:val="00F40AB8"/>
    <w:rsid w:val="00F40DC3"/>
    <w:rsid w:val="00F42E98"/>
    <w:rsid w:val="00F446B0"/>
    <w:rsid w:val="00F46597"/>
    <w:rsid w:val="00F46CCD"/>
    <w:rsid w:val="00F51027"/>
    <w:rsid w:val="00F56154"/>
    <w:rsid w:val="00F62DFE"/>
    <w:rsid w:val="00F650EF"/>
    <w:rsid w:val="00F71C38"/>
    <w:rsid w:val="00F71E8A"/>
    <w:rsid w:val="00F74094"/>
    <w:rsid w:val="00F90500"/>
    <w:rsid w:val="00F95192"/>
    <w:rsid w:val="00F9596A"/>
    <w:rsid w:val="00F95B31"/>
    <w:rsid w:val="00FA05BC"/>
    <w:rsid w:val="00FA3B42"/>
    <w:rsid w:val="00FA5F5B"/>
    <w:rsid w:val="00FA729D"/>
    <w:rsid w:val="00FB508F"/>
    <w:rsid w:val="00FB7F6D"/>
    <w:rsid w:val="00FC08BE"/>
    <w:rsid w:val="00FC2703"/>
    <w:rsid w:val="00FC3261"/>
    <w:rsid w:val="00FD615A"/>
    <w:rsid w:val="00FE0370"/>
    <w:rsid w:val="00FE3DB1"/>
    <w:rsid w:val="00FF0B2C"/>
    <w:rsid w:val="00FF2FC2"/>
    <w:rsid w:val="00FF3FB8"/>
    <w:rsid w:val="00FF453C"/>
    <w:rsid w:val="00FF64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8CB5"/>
  <w15:docId w15:val="{430D0427-5AC3-430F-9672-9D829931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125"/>
    <w:pPr>
      <w:spacing w:before="160"/>
    </w:pPr>
  </w:style>
  <w:style w:type="paragraph" w:styleId="Heading1">
    <w:name w:val="heading 1"/>
    <w:basedOn w:val="Normal"/>
    <w:next w:val="Normal"/>
    <w:link w:val="Heading1Char"/>
    <w:uiPriority w:val="9"/>
    <w:qFormat/>
    <w:rsid w:val="00BC73A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73A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863A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uiPriority w:val="9"/>
    <w:qFormat/>
    <w:rsid w:val="00382DA0"/>
    <w:pPr>
      <w:keepLines w:val="0"/>
      <w:numPr>
        <w:ilvl w:val="3"/>
      </w:numPr>
      <w:suppressAutoHyphens/>
      <w:spacing w:before="240" w:after="60" w:line="240" w:lineRule="auto"/>
      <w:jc w:val="both"/>
      <w:outlineLvl w:val="3"/>
    </w:pPr>
    <w:rPr>
      <w:rFonts w:ascii="Times New Roman" w:eastAsia="Times New Roman" w:hAnsi="Times New Roman" w:cs="Times New Roman"/>
      <w:i/>
      <w:color w:val="auto"/>
      <w:szCs w:val="20"/>
      <w:u w:val="single"/>
      <w:lang w:val="en-GB" w:eastAsia="ar-SA"/>
    </w:rPr>
  </w:style>
  <w:style w:type="paragraph" w:styleId="Heading5">
    <w:name w:val="heading 5"/>
    <w:basedOn w:val="Normal"/>
    <w:next w:val="BodyText"/>
    <w:link w:val="Heading5Char"/>
    <w:qFormat/>
    <w:rsid w:val="00382DA0"/>
    <w:pPr>
      <w:keepNext/>
      <w:tabs>
        <w:tab w:val="num" w:pos="0"/>
      </w:tabs>
      <w:suppressAutoHyphens/>
      <w:spacing w:before="240" w:after="120" w:line="240" w:lineRule="auto"/>
      <w:jc w:val="both"/>
      <w:outlineLvl w:val="4"/>
    </w:pPr>
    <w:rPr>
      <w:rFonts w:ascii="Arial" w:eastAsia="SimSun" w:hAnsi="Arial" w:cs="Tahoma"/>
      <w:b/>
      <w:bCs/>
      <w:sz w:val="24"/>
      <w:szCs w:val="24"/>
      <w:lang w:val="en-GB" w:eastAsia="ar-SA"/>
    </w:rPr>
  </w:style>
  <w:style w:type="paragraph" w:styleId="Heading6">
    <w:name w:val="heading 6"/>
    <w:basedOn w:val="Normal"/>
    <w:next w:val="BodyText"/>
    <w:link w:val="Heading6Char"/>
    <w:qFormat/>
    <w:rsid w:val="00382DA0"/>
    <w:pPr>
      <w:keepNext/>
      <w:tabs>
        <w:tab w:val="num" w:pos="0"/>
      </w:tabs>
      <w:suppressAutoHyphens/>
      <w:spacing w:before="240" w:after="120" w:line="240" w:lineRule="auto"/>
      <w:jc w:val="both"/>
      <w:outlineLvl w:val="5"/>
    </w:pPr>
    <w:rPr>
      <w:rFonts w:ascii="Arial" w:eastAsia="SimSun" w:hAnsi="Arial" w:cs="Tahoma"/>
      <w:b/>
      <w:bCs/>
      <w:sz w:val="21"/>
      <w:szCs w:val="21"/>
      <w:lang w:val="en-GB" w:eastAsia="ar-SA"/>
    </w:rPr>
  </w:style>
  <w:style w:type="paragraph" w:styleId="Heading7">
    <w:name w:val="heading 7"/>
    <w:basedOn w:val="Normal"/>
    <w:next w:val="BodyText"/>
    <w:link w:val="Heading7Char"/>
    <w:qFormat/>
    <w:rsid w:val="00382DA0"/>
    <w:pPr>
      <w:keepNext/>
      <w:tabs>
        <w:tab w:val="num" w:pos="0"/>
      </w:tabs>
      <w:suppressAutoHyphens/>
      <w:spacing w:before="240" w:after="120" w:line="240" w:lineRule="auto"/>
      <w:jc w:val="both"/>
      <w:outlineLvl w:val="6"/>
    </w:pPr>
    <w:rPr>
      <w:rFonts w:ascii="Arial" w:eastAsia="SimSun" w:hAnsi="Arial" w:cs="Tahoma"/>
      <w:b/>
      <w:bCs/>
      <w:sz w:val="21"/>
      <w:szCs w:val="21"/>
      <w:lang w:val="en-GB" w:eastAsia="ar-SA"/>
    </w:rPr>
  </w:style>
  <w:style w:type="paragraph" w:styleId="Heading8">
    <w:name w:val="heading 8"/>
    <w:basedOn w:val="Normal"/>
    <w:next w:val="BodyText"/>
    <w:link w:val="Heading8Char"/>
    <w:qFormat/>
    <w:rsid w:val="00382DA0"/>
    <w:pPr>
      <w:keepNext/>
      <w:tabs>
        <w:tab w:val="num" w:pos="0"/>
      </w:tabs>
      <w:suppressAutoHyphens/>
      <w:spacing w:before="240" w:after="120" w:line="240" w:lineRule="auto"/>
      <w:jc w:val="both"/>
      <w:outlineLvl w:val="7"/>
    </w:pPr>
    <w:rPr>
      <w:rFonts w:ascii="Arial" w:eastAsia="SimSun" w:hAnsi="Arial" w:cs="Tahoma"/>
      <w:b/>
      <w:bCs/>
      <w:sz w:val="21"/>
      <w:szCs w:val="21"/>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3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73A7"/>
    <w:rPr>
      <w:rFonts w:asciiTheme="majorHAnsi" w:eastAsiaTheme="majorEastAsia" w:hAnsiTheme="majorHAnsi" w:cstheme="majorBidi"/>
      <w:color w:val="2E74B5" w:themeColor="accent1" w:themeShade="BF"/>
      <w:sz w:val="26"/>
      <w:szCs w:val="26"/>
    </w:rPr>
  </w:style>
  <w:style w:type="paragraph" w:styleId="ListParagraph">
    <w:name w:val="List Paragraph"/>
    <w:aliases w:val="Numbered Para 1,Dot pt,No Spacing1,List Paragraph Char Char Char,Indicator Text,Bullet 1,List Paragraph1,Bullet Points,MAIN CONTENT,List Paragraph12,F5 List Paragraph,Heading 2_sj,1st level - Bullet List Paragraph,Lettre d'introduction,L"/>
    <w:basedOn w:val="Normal"/>
    <w:link w:val="ListParagraphChar"/>
    <w:uiPriority w:val="34"/>
    <w:qFormat/>
    <w:rsid w:val="00BC73A7"/>
    <w:pPr>
      <w:ind w:left="720"/>
      <w:contextualSpacing/>
    </w:pPr>
  </w:style>
  <w:style w:type="character" w:customStyle="1" w:styleId="Heading3Char">
    <w:name w:val="Heading 3 Char"/>
    <w:basedOn w:val="DefaultParagraphFont"/>
    <w:link w:val="Heading3"/>
    <w:rsid w:val="007863A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8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B414C"/>
    <w:rPr>
      <w:sz w:val="16"/>
      <w:szCs w:val="16"/>
    </w:rPr>
  </w:style>
  <w:style w:type="paragraph" w:styleId="CommentText">
    <w:name w:val="annotation text"/>
    <w:basedOn w:val="Normal"/>
    <w:link w:val="CommentTextChar"/>
    <w:unhideWhenUsed/>
    <w:rsid w:val="008B414C"/>
    <w:pPr>
      <w:spacing w:line="240" w:lineRule="auto"/>
    </w:pPr>
    <w:rPr>
      <w:sz w:val="20"/>
      <w:szCs w:val="20"/>
    </w:rPr>
  </w:style>
  <w:style w:type="character" w:customStyle="1" w:styleId="CommentTextChar">
    <w:name w:val="Comment Text Char"/>
    <w:basedOn w:val="DefaultParagraphFont"/>
    <w:link w:val="CommentText"/>
    <w:rsid w:val="008B414C"/>
    <w:rPr>
      <w:sz w:val="20"/>
      <w:szCs w:val="20"/>
    </w:rPr>
  </w:style>
  <w:style w:type="paragraph" w:styleId="CommentSubject">
    <w:name w:val="annotation subject"/>
    <w:basedOn w:val="CommentText"/>
    <w:next w:val="CommentText"/>
    <w:link w:val="CommentSubjectChar"/>
    <w:uiPriority w:val="99"/>
    <w:semiHidden/>
    <w:unhideWhenUsed/>
    <w:rsid w:val="008B414C"/>
    <w:rPr>
      <w:b/>
      <w:bCs/>
    </w:rPr>
  </w:style>
  <w:style w:type="character" w:customStyle="1" w:styleId="CommentSubjectChar">
    <w:name w:val="Comment Subject Char"/>
    <w:basedOn w:val="CommentTextChar"/>
    <w:link w:val="CommentSubject"/>
    <w:uiPriority w:val="99"/>
    <w:semiHidden/>
    <w:rsid w:val="008B414C"/>
    <w:rPr>
      <w:b/>
      <w:bCs/>
      <w:sz w:val="20"/>
      <w:szCs w:val="20"/>
    </w:rPr>
  </w:style>
  <w:style w:type="paragraph" w:styleId="BalloonText">
    <w:name w:val="Balloon Text"/>
    <w:basedOn w:val="Normal"/>
    <w:link w:val="BalloonTextChar"/>
    <w:uiPriority w:val="99"/>
    <w:semiHidden/>
    <w:unhideWhenUsed/>
    <w:rsid w:val="008B414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14C"/>
    <w:rPr>
      <w:rFonts w:ascii="Segoe UI" w:hAnsi="Segoe UI" w:cs="Segoe UI"/>
      <w:sz w:val="18"/>
      <w:szCs w:val="18"/>
    </w:rPr>
  </w:style>
  <w:style w:type="character" w:customStyle="1" w:styleId="Heading4Char">
    <w:name w:val="Heading 4 Char"/>
    <w:basedOn w:val="DefaultParagraphFont"/>
    <w:link w:val="Heading4"/>
    <w:uiPriority w:val="9"/>
    <w:rsid w:val="00382DA0"/>
    <w:rPr>
      <w:rFonts w:ascii="Times New Roman" w:eastAsia="Times New Roman" w:hAnsi="Times New Roman" w:cs="Times New Roman"/>
      <w:i/>
      <w:sz w:val="24"/>
      <w:szCs w:val="20"/>
      <w:u w:val="single"/>
      <w:lang w:val="en-GB" w:eastAsia="ar-SA"/>
    </w:rPr>
  </w:style>
  <w:style w:type="character" w:customStyle="1" w:styleId="Heading5Char">
    <w:name w:val="Heading 5 Char"/>
    <w:basedOn w:val="DefaultParagraphFont"/>
    <w:link w:val="Heading5"/>
    <w:rsid w:val="00382DA0"/>
    <w:rPr>
      <w:rFonts w:ascii="Arial" w:eastAsia="SimSun" w:hAnsi="Arial" w:cs="Tahoma"/>
      <w:b/>
      <w:bCs/>
      <w:sz w:val="24"/>
      <w:szCs w:val="24"/>
      <w:lang w:val="en-GB" w:eastAsia="ar-SA"/>
    </w:rPr>
  </w:style>
  <w:style w:type="character" w:customStyle="1" w:styleId="Heading6Char">
    <w:name w:val="Heading 6 Char"/>
    <w:basedOn w:val="DefaultParagraphFont"/>
    <w:link w:val="Heading6"/>
    <w:rsid w:val="00382DA0"/>
    <w:rPr>
      <w:rFonts w:ascii="Arial" w:eastAsia="SimSun" w:hAnsi="Arial" w:cs="Tahoma"/>
      <w:b/>
      <w:bCs/>
      <w:sz w:val="21"/>
      <w:szCs w:val="21"/>
      <w:lang w:val="en-GB" w:eastAsia="ar-SA"/>
    </w:rPr>
  </w:style>
  <w:style w:type="character" w:customStyle="1" w:styleId="Heading7Char">
    <w:name w:val="Heading 7 Char"/>
    <w:basedOn w:val="DefaultParagraphFont"/>
    <w:link w:val="Heading7"/>
    <w:rsid w:val="00382DA0"/>
    <w:rPr>
      <w:rFonts w:ascii="Arial" w:eastAsia="SimSun" w:hAnsi="Arial" w:cs="Tahoma"/>
      <w:b/>
      <w:bCs/>
      <w:sz w:val="21"/>
      <w:szCs w:val="21"/>
      <w:lang w:val="en-GB" w:eastAsia="ar-SA"/>
    </w:rPr>
  </w:style>
  <w:style w:type="character" w:customStyle="1" w:styleId="Heading8Char">
    <w:name w:val="Heading 8 Char"/>
    <w:basedOn w:val="DefaultParagraphFont"/>
    <w:link w:val="Heading8"/>
    <w:rsid w:val="00382DA0"/>
    <w:rPr>
      <w:rFonts w:ascii="Arial" w:eastAsia="SimSun" w:hAnsi="Arial" w:cs="Tahoma"/>
      <w:b/>
      <w:bCs/>
      <w:sz w:val="21"/>
      <w:szCs w:val="21"/>
      <w:lang w:val="en-GB" w:eastAsia="ar-SA"/>
    </w:rPr>
  </w:style>
  <w:style w:type="paragraph" w:styleId="BodyText">
    <w:name w:val="Body Text"/>
    <w:basedOn w:val="Normal"/>
    <w:link w:val="BodyTextChar"/>
    <w:uiPriority w:val="99"/>
    <w:semiHidden/>
    <w:unhideWhenUsed/>
    <w:rsid w:val="00382DA0"/>
    <w:pPr>
      <w:spacing w:after="120"/>
    </w:pPr>
  </w:style>
  <w:style w:type="character" w:customStyle="1" w:styleId="BodyTextChar">
    <w:name w:val="Body Text Char"/>
    <w:basedOn w:val="DefaultParagraphFont"/>
    <w:link w:val="BodyText"/>
    <w:uiPriority w:val="99"/>
    <w:semiHidden/>
    <w:rsid w:val="00382DA0"/>
  </w:style>
  <w:style w:type="character" w:customStyle="1" w:styleId="FootnoteTextChar">
    <w:name w:val="Footnote Text Char"/>
    <w:aliases w:val="Fußnotentext Char Char1,Fußnotentext Char1 Char1 Char,Fußnotentext Char Char Char Char Char,Fußnotentext Char1 Char Char Char Char1,Fußnotentext Char Char Char,Fußnotentext Char1 Char Char Char Char Char,Fußnotentext Char1 Char"/>
    <w:basedOn w:val="DefaultParagraphFont"/>
    <w:link w:val="FootnoteText"/>
    <w:locked/>
    <w:rsid w:val="00622B1F"/>
    <w:rPr>
      <w:rFonts w:eastAsia="Times New Roman"/>
      <w:sz w:val="20"/>
      <w:szCs w:val="20"/>
    </w:rPr>
  </w:style>
  <w:style w:type="paragraph" w:styleId="FootnoteText">
    <w:name w:val="footnote text"/>
    <w:aliases w:val="Fußnotentext Char,Fußnotentext Char1 Char1,Fußnotentext Char Char Char Char,Fußnotentext Char1 Char Char Char,Fußnotentext Char Char,Fußnotentext Char1 Char Char Char Char,Fußnotentext Char Char Char Char Char Char,Fußnotentext Char1"/>
    <w:basedOn w:val="Normal"/>
    <w:link w:val="FootnoteTextChar"/>
    <w:unhideWhenUsed/>
    <w:qFormat/>
    <w:rsid w:val="00622B1F"/>
    <w:pPr>
      <w:spacing w:before="200" w:after="120" w:line="240" w:lineRule="auto"/>
      <w:ind w:left="357" w:hanging="357"/>
      <w:jc w:val="both"/>
    </w:pPr>
    <w:rPr>
      <w:rFonts w:eastAsia="Times New Roman"/>
      <w:sz w:val="20"/>
      <w:szCs w:val="20"/>
    </w:rPr>
  </w:style>
  <w:style w:type="character" w:customStyle="1" w:styleId="FootnoteTextChar1">
    <w:name w:val="Footnote Text Char1"/>
    <w:basedOn w:val="DefaultParagraphFont"/>
    <w:uiPriority w:val="99"/>
    <w:semiHidden/>
    <w:rsid w:val="00622B1F"/>
    <w:rPr>
      <w:sz w:val="20"/>
      <w:szCs w:val="20"/>
    </w:rPr>
  </w:style>
  <w:style w:type="character" w:customStyle="1" w:styleId="Annexlevel3Char">
    <w:name w:val="Annex level 3 Char"/>
    <w:basedOn w:val="DefaultParagraphFont"/>
    <w:link w:val="Annexlevel3"/>
    <w:locked/>
    <w:rsid w:val="00622B1F"/>
    <w:rPr>
      <w:rFonts w:asciiTheme="majorHAnsi" w:eastAsiaTheme="majorEastAsia" w:hAnsiTheme="majorHAnsi" w:cstheme="majorBidi"/>
      <w:b/>
      <w:bCs/>
      <w:color w:val="5B9BD5" w:themeColor="accent1"/>
      <w:sz w:val="24"/>
      <w:szCs w:val="24"/>
    </w:rPr>
  </w:style>
  <w:style w:type="paragraph" w:customStyle="1" w:styleId="Annexlevel3">
    <w:name w:val="Annex level 3"/>
    <w:basedOn w:val="Heading3"/>
    <w:link w:val="Annexlevel3Char"/>
    <w:qFormat/>
    <w:rsid w:val="00622B1F"/>
    <w:pPr>
      <w:suppressAutoHyphens/>
      <w:autoSpaceDN w:val="0"/>
      <w:spacing w:before="360" w:after="240" w:line="276" w:lineRule="auto"/>
    </w:pPr>
    <w:rPr>
      <w:b/>
      <w:bCs/>
      <w:color w:val="5B9BD5" w:themeColor="accent1"/>
    </w:rPr>
  </w:style>
  <w:style w:type="character" w:styleId="FootnoteReference">
    <w:name w:val="footnote reference"/>
    <w:aliases w:val="Voetnoot verwijzing,number,Footnote reference number,Footnote symbol,note TESI,-E Fußnotenzeichen,SUPERS,stylish,Footnote Reference_EP-LCA,BVI fnr,Odwołanie przypisu,Footnote Reference2,Footnote Reference Number,E FNZ,Footnote#,Ref"/>
    <w:basedOn w:val="DefaultParagraphFont"/>
    <w:uiPriority w:val="99"/>
    <w:unhideWhenUsed/>
    <w:qFormat/>
    <w:rsid w:val="00622B1F"/>
    <w:rPr>
      <w:vertAlign w:val="superscript"/>
    </w:rPr>
  </w:style>
  <w:style w:type="paragraph" w:styleId="Title">
    <w:name w:val="Title"/>
    <w:basedOn w:val="Normal"/>
    <w:next w:val="Normal"/>
    <w:link w:val="TitleChar"/>
    <w:uiPriority w:val="10"/>
    <w:qFormat/>
    <w:rsid w:val="0088242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42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83C9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83C9A"/>
  </w:style>
  <w:style w:type="paragraph" w:styleId="Footer">
    <w:name w:val="footer"/>
    <w:basedOn w:val="Normal"/>
    <w:link w:val="FooterChar"/>
    <w:uiPriority w:val="99"/>
    <w:unhideWhenUsed/>
    <w:rsid w:val="00D83C9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83C9A"/>
  </w:style>
  <w:style w:type="paragraph" w:styleId="Revision">
    <w:name w:val="Revision"/>
    <w:hidden/>
    <w:uiPriority w:val="99"/>
    <w:semiHidden/>
    <w:rsid w:val="00E102D1"/>
    <w:pPr>
      <w:spacing w:after="0" w:line="240" w:lineRule="auto"/>
    </w:pPr>
  </w:style>
  <w:style w:type="character" w:styleId="Hyperlink">
    <w:name w:val="Hyperlink"/>
    <w:basedOn w:val="DefaultParagraphFont"/>
    <w:uiPriority w:val="99"/>
    <w:unhideWhenUsed/>
    <w:rsid w:val="00BD0315"/>
    <w:rPr>
      <w:color w:val="0563C1" w:themeColor="hyperlink"/>
      <w:u w:val="single"/>
    </w:rPr>
  </w:style>
  <w:style w:type="paragraph" w:styleId="ListBullet">
    <w:name w:val="List Bullet"/>
    <w:basedOn w:val="Normal"/>
    <w:uiPriority w:val="99"/>
    <w:unhideWhenUsed/>
    <w:rsid w:val="009D088F"/>
    <w:pPr>
      <w:numPr>
        <w:numId w:val="3"/>
      </w:numPr>
      <w:suppressAutoHyphens/>
      <w:spacing w:before="0" w:after="240" w:line="240" w:lineRule="auto"/>
      <w:contextualSpacing/>
      <w:jc w:val="both"/>
    </w:pPr>
    <w:rPr>
      <w:rFonts w:ascii="Arial" w:eastAsia="Times New Roman" w:hAnsi="Arial" w:cs="Arial"/>
      <w:sz w:val="20"/>
      <w:szCs w:val="20"/>
      <w:lang w:val="en-GB" w:eastAsia="ar-SA"/>
    </w:rPr>
  </w:style>
  <w:style w:type="paragraph" w:styleId="TOCHeading">
    <w:name w:val="TOC Heading"/>
    <w:basedOn w:val="Heading1"/>
    <w:next w:val="Normal"/>
    <w:uiPriority w:val="39"/>
    <w:unhideWhenUsed/>
    <w:qFormat/>
    <w:rsid w:val="0061594C"/>
    <w:pPr>
      <w:numPr>
        <w:numId w:val="0"/>
      </w:numPr>
      <w:spacing w:before="480" w:line="276" w:lineRule="auto"/>
      <w:outlineLvl w:val="9"/>
    </w:pPr>
    <w:rPr>
      <w:rFonts w:ascii="Cambria" w:eastAsia="MS Gothic" w:hAnsi="Cambria" w:cs="Times New Roman"/>
      <w:b/>
      <w:bCs/>
      <w:color w:val="365F91"/>
      <w:sz w:val="28"/>
      <w:szCs w:val="28"/>
      <w:lang w:eastAsia="ja-JP"/>
    </w:rPr>
  </w:style>
  <w:style w:type="character" w:styleId="Strong">
    <w:name w:val="Strong"/>
    <w:basedOn w:val="DefaultParagraphFont"/>
    <w:uiPriority w:val="22"/>
    <w:qFormat/>
    <w:rsid w:val="0061594C"/>
    <w:rPr>
      <w:b/>
      <w:bCs/>
    </w:rPr>
  </w:style>
  <w:style w:type="paragraph" w:customStyle="1" w:styleId="Default">
    <w:name w:val="Default"/>
    <w:rsid w:val="0017699E"/>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CommentTextChar1">
    <w:name w:val="Comment Text Char1"/>
    <w:basedOn w:val="DefaultParagraphFont"/>
    <w:rsid w:val="00B44F25"/>
    <w:rPr>
      <w:sz w:val="20"/>
      <w:szCs w:val="20"/>
    </w:rPr>
  </w:style>
  <w:style w:type="character" w:customStyle="1" w:styleId="apple-converted-space">
    <w:name w:val="apple-converted-space"/>
    <w:basedOn w:val="DefaultParagraphFont"/>
    <w:rsid w:val="00B44F25"/>
  </w:style>
  <w:style w:type="paragraph" w:styleId="ListBullet5">
    <w:name w:val="List Bullet 5"/>
    <w:basedOn w:val="Normal"/>
    <w:rsid w:val="009515FA"/>
    <w:pPr>
      <w:numPr>
        <w:numId w:val="4"/>
      </w:numPr>
      <w:tabs>
        <w:tab w:val="left" w:pos="1701"/>
      </w:tabs>
      <w:spacing w:before="0" w:after="120" w:line="240" w:lineRule="auto"/>
      <w:ind w:left="1702" w:hanging="284"/>
      <w:jc w:val="both"/>
    </w:pPr>
    <w:rPr>
      <w:rFonts w:ascii="Times New Roman" w:eastAsia="Batang" w:hAnsi="Times New Roman" w:cs="Times New Roman"/>
      <w:szCs w:val="20"/>
      <w:lang w:val="en-GB" w:eastAsia="ar-SA"/>
    </w:rPr>
  </w:style>
  <w:style w:type="character" w:styleId="FollowedHyperlink">
    <w:name w:val="FollowedHyperlink"/>
    <w:basedOn w:val="DefaultParagraphFont"/>
    <w:uiPriority w:val="99"/>
    <w:semiHidden/>
    <w:unhideWhenUsed/>
    <w:rsid w:val="00DC114D"/>
    <w:rPr>
      <w:color w:val="954F72" w:themeColor="followedHyperlink"/>
      <w:u w:val="single"/>
    </w:rPr>
  </w:style>
  <w:style w:type="paragraph" w:styleId="TOC1">
    <w:name w:val="toc 1"/>
    <w:basedOn w:val="Normal"/>
    <w:next w:val="Normal"/>
    <w:autoRedefine/>
    <w:uiPriority w:val="39"/>
    <w:unhideWhenUsed/>
    <w:rsid w:val="00667F00"/>
    <w:pPr>
      <w:spacing w:after="100"/>
    </w:pPr>
  </w:style>
  <w:style w:type="character" w:customStyle="1" w:styleId="ListParagraphChar">
    <w:name w:val="List Paragraph Char"/>
    <w:aliases w:val="Numbered Para 1 Char,Dot pt Char,No Spacing1 Char,List Paragraph Char Char Char Char,Indicator Text Char,Bullet 1 Char,List Paragraph1 Char,Bullet Points Char,MAIN CONTENT Char,List Paragraph12 Char,F5 List Paragraph Char,L Char"/>
    <w:link w:val="ListParagraph"/>
    <w:uiPriority w:val="34"/>
    <w:qFormat/>
    <w:rsid w:val="005D2C09"/>
  </w:style>
  <w:style w:type="paragraph" w:styleId="NormalWeb">
    <w:name w:val="Normal (Web)"/>
    <w:basedOn w:val="Normal"/>
    <w:uiPriority w:val="99"/>
    <w:unhideWhenUsed/>
    <w:rsid w:val="005D2C09"/>
    <w:pPr>
      <w:spacing w:before="0" w:after="0" w:line="240" w:lineRule="auto"/>
    </w:pPr>
    <w:rPr>
      <w:rFonts w:ascii="Times New Roman" w:hAnsi="Times New Roman" w:cs="Times New Roman"/>
      <w:sz w:val="24"/>
      <w:szCs w:val="24"/>
      <w:lang w:val="en-GB" w:eastAsia="en-GB"/>
    </w:rPr>
  </w:style>
  <w:style w:type="paragraph" w:styleId="TOC2">
    <w:name w:val="toc 2"/>
    <w:basedOn w:val="Normal"/>
    <w:next w:val="Normal"/>
    <w:autoRedefine/>
    <w:uiPriority w:val="39"/>
    <w:unhideWhenUsed/>
    <w:rsid w:val="008711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3594">
      <w:bodyDiv w:val="1"/>
      <w:marLeft w:val="0"/>
      <w:marRight w:val="0"/>
      <w:marTop w:val="0"/>
      <w:marBottom w:val="0"/>
      <w:divBdr>
        <w:top w:val="none" w:sz="0" w:space="0" w:color="auto"/>
        <w:left w:val="none" w:sz="0" w:space="0" w:color="auto"/>
        <w:bottom w:val="none" w:sz="0" w:space="0" w:color="auto"/>
        <w:right w:val="none" w:sz="0" w:space="0" w:color="auto"/>
      </w:divBdr>
    </w:div>
    <w:div w:id="109597246">
      <w:bodyDiv w:val="1"/>
      <w:marLeft w:val="0"/>
      <w:marRight w:val="0"/>
      <w:marTop w:val="0"/>
      <w:marBottom w:val="0"/>
      <w:divBdr>
        <w:top w:val="none" w:sz="0" w:space="0" w:color="auto"/>
        <w:left w:val="none" w:sz="0" w:space="0" w:color="auto"/>
        <w:bottom w:val="none" w:sz="0" w:space="0" w:color="auto"/>
        <w:right w:val="none" w:sz="0" w:space="0" w:color="auto"/>
      </w:divBdr>
    </w:div>
    <w:div w:id="130828514">
      <w:bodyDiv w:val="1"/>
      <w:marLeft w:val="0"/>
      <w:marRight w:val="0"/>
      <w:marTop w:val="0"/>
      <w:marBottom w:val="0"/>
      <w:divBdr>
        <w:top w:val="none" w:sz="0" w:space="0" w:color="auto"/>
        <w:left w:val="none" w:sz="0" w:space="0" w:color="auto"/>
        <w:bottom w:val="none" w:sz="0" w:space="0" w:color="auto"/>
        <w:right w:val="none" w:sz="0" w:space="0" w:color="auto"/>
      </w:divBdr>
      <w:divsChild>
        <w:div w:id="793451212">
          <w:marLeft w:val="547"/>
          <w:marRight w:val="0"/>
          <w:marTop w:val="120"/>
          <w:marBottom w:val="120"/>
          <w:divBdr>
            <w:top w:val="none" w:sz="0" w:space="0" w:color="auto"/>
            <w:left w:val="none" w:sz="0" w:space="0" w:color="auto"/>
            <w:bottom w:val="none" w:sz="0" w:space="0" w:color="auto"/>
            <w:right w:val="none" w:sz="0" w:space="0" w:color="auto"/>
          </w:divBdr>
        </w:div>
      </w:divsChild>
    </w:div>
    <w:div w:id="144394185">
      <w:bodyDiv w:val="1"/>
      <w:marLeft w:val="0"/>
      <w:marRight w:val="0"/>
      <w:marTop w:val="0"/>
      <w:marBottom w:val="0"/>
      <w:divBdr>
        <w:top w:val="none" w:sz="0" w:space="0" w:color="auto"/>
        <w:left w:val="none" w:sz="0" w:space="0" w:color="auto"/>
        <w:bottom w:val="none" w:sz="0" w:space="0" w:color="auto"/>
        <w:right w:val="none" w:sz="0" w:space="0" w:color="auto"/>
      </w:divBdr>
      <w:divsChild>
        <w:div w:id="1248076272">
          <w:marLeft w:val="360"/>
          <w:marRight w:val="0"/>
          <w:marTop w:val="0"/>
          <w:marBottom w:val="360"/>
          <w:divBdr>
            <w:top w:val="none" w:sz="0" w:space="0" w:color="auto"/>
            <w:left w:val="none" w:sz="0" w:space="0" w:color="auto"/>
            <w:bottom w:val="none" w:sz="0" w:space="0" w:color="auto"/>
            <w:right w:val="none" w:sz="0" w:space="0" w:color="auto"/>
          </w:divBdr>
        </w:div>
        <w:div w:id="1157696586">
          <w:marLeft w:val="360"/>
          <w:marRight w:val="0"/>
          <w:marTop w:val="0"/>
          <w:marBottom w:val="360"/>
          <w:divBdr>
            <w:top w:val="none" w:sz="0" w:space="0" w:color="auto"/>
            <w:left w:val="none" w:sz="0" w:space="0" w:color="auto"/>
            <w:bottom w:val="none" w:sz="0" w:space="0" w:color="auto"/>
            <w:right w:val="none" w:sz="0" w:space="0" w:color="auto"/>
          </w:divBdr>
        </w:div>
        <w:div w:id="161774270">
          <w:marLeft w:val="360"/>
          <w:marRight w:val="0"/>
          <w:marTop w:val="0"/>
          <w:marBottom w:val="360"/>
          <w:divBdr>
            <w:top w:val="none" w:sz="0" w:space="0" w:color="auto"/>
            <w:left w:val="none" w:sz="0" w:space="0" w:color="auto"/>
            <w:bottom w:val="none" w:sz="0" w:space="0" w:color="auto"/>
            <w:right w:val="none" w:sz="0" w:space="0" w:color="auto"/>
          </w:divBdr>
        </w:div>
      </w:divsChild>
    </w:div>
    <w:div w:id="147793352">
      <w:bodyDiv w:val="1"/>
      <w:marLeft w:val="0"/>
      <w:marRight w:val="0"/>
      <w:marTop w:val="0"/>
      <w:marBottom w:val="0"/>
      <w:divBdr>
        <w:top w:val="none" w:sz="0" w:space="0" w:color="auto"/>
        <w:left w:val="none" w:sz="0" w:space="0" w:color="auto"/>
        <w:bottom w:val="none" w:sz="0" w:space="0" w:color="auto"/>
        <w:right w:val="none" w:sz="0" w:space="0" w:color="auto"/>
      </w:divBdr>
      <w:divsChild>
        <w:div w:id="1803377554">
          <w:marLeft w:val="720"/>
          <w:marRight w:val="0"/>
          <w:marTop w:val="120"/>
          <w:marBottom w:val="0"/>
          <w:divBdr>
            <w:top w:val="none" w:sz="0" w:space="0" w:color="auto"/>
            <w:left w:val="none" w:sz="0" w:space="0" w:color="auto"/>
            <w:bottom w:val="none" w:sz="0" w:space="0" w:color="auto"/>
            <w:right w:val="none" w:sz="0" w:space="0" w:color="auto"/>
          </w:divBdr>
        </w:div>
        <w:div w:id="1451128864">
          <w:marLeft w:val="994"/>
          <w:marRight w:val="0"/>
          <w:marTop w:val="0"/>
          <w:marBottom w:val="0"/>
          <w:divBdr>
            <w:top w:val="none" w:sz="0" w:space="0" w:color="auto"/>
            <w:left w:val="none" w:sz="0" w:space="0" w:color="auto"/>
            <w:bottom w:val="none" w:sz="0" w:space="0" w:color="auto"/>
            <w:right w:val="none" w:sz="0" w:space="0" w:color="auto"/>
          </w:divBdr>
        </w:div>
        <w:div w:id="357314775">
          <w:marLeft w:val="994"/>
          <w:marRight w:val="0"/>
          <w:marTop w:val="0"/>
          <w:marBottom w:val="0"/>
          <w:divBdr>
            <w:top w:val="none" w:sz="0" w:space="0" w:color="auto"/>
            <w:left w:val="none" w:sz="0" w:space="0" w:color="auto"/>
            <w:bottom w:val="none" w:sz="0" w:space="0" w:color="auto"/>
            <w:right w:val="none" w:sz="0" w:space="0" w:color="auto"/>
          </w:divBdr>
        </w:div>
        <w:div w:id="600651952">
          <w:marLeft w:val="720"/>
          <w:marRight w:val="0"/>
          <w:marTop w:val="120"/>
          <w:marBottom w:val="0"/>
          <w:divBdr>
            <w:top w:val="none" w:sz="0" w:space="0" w:color="auto"/>
            <w:left w:val="none" w:sz="0" w:space="0" w:color="auto"/>
            <w:bottom w:val="none" w:sz="0" w:space="0" w:color="auto"/>
            <w:right w:val="none" w:sz="0" w:space="0" w:color="auto"/>
          </w:divBdr>
        </w:div>
        <w:div w:id="656422526">
          <w:marLeft w:val="562"/>
          <w:marRight w:val="0"/>
          <w:marTop w:val="120"/>
          <w:marBottom w:val="0"/>
          <w:divBdr>
            <w:top w:val="none" w:sz="0" w:space="0" w:color="auto"/>
            <w:left w:val="none" w:sz="0" w:space="0" w:color="auto"/>
            <w:bottom w:val="none" w:sz="0" w:space="0" w:color="auto"/>
            <w:right w:val="none" w:sz="0" w:space="0" w:color="auto"/>
          </w:divBdr>
        </w:div>
        <w:div w:id="2108648482">
          <w:marLeft w:val="562"/>
          <w:marRight w:val="0"/>
          <w:marTop w:val="120"/>
          <w:marBottom w:val="0"/>
          <w:divBdr>
            <w:top w:val="none" w:sz="0" w:space="0" w:color="auto"/>
            <w:left w:val="none" w:sz="0" w:space="0" w:color="auto"/>
            <w:bottom w:val="none" w:sz="0" w:space="0" w:color="auto"/>
            <w:right w:val="none" w:sz="0" w:space="0" w:color="auto"/>
          </w:divBdr>
        </w:div>
      </w:divsChild>
    </w:div>
    <w:div w:id="154734629">
      <w:bodyDiv w:val="1"/>
      <w:marLeft w:val="0"/>
      <w:marRight w:val="0"/>
      <w:marTop w:val="0"/>
      <w:marBottom w:val="0"/>
      <w:divBdr>
        <w:top w:val="none" w:sz="0" w:space="0" w:color="auto"/>
        <w:left w:val="none" w:sz="0" w:space="0" w:color="auto"/>
        <w:bottom w:val="none" w:sz="0" w:space="0" w:color="auto"/>
        <w:right w:val="none" w:sz="0" w:space="0" w:color="auto"/>
      </w:divBdr>
      <w:divsChild>
        <w:div w:id="1133905056">
          <w:marLeft w:val="547"/>
          <w:marRight w:val="0"/>
          <w:marTop w:val="120"/>
          <w:marBottom w:val="120"/>
          <w:divBdr>
            <w:top w:val="none" w:sz="0" w:space="0" w:color="auto"/>
            <w:left w:val="none" w:sz="0" w:space="0" w:color="auto"/>
            <w:bottom w:val="none" w:sz="0" w:space="0" w:color="auto"/>
            <w:right w:val="none" w:sz="0" w:space="0" w:color="auto"/>
          </w:divBdr>
        </w:div>
      </w:divsChild>
    </w:div>
    <w:div w:id="167908402">
      <w:bodyDiv w:val="1"/>
      <w:marLeft w:val="0"/>
      <w:marRight w:val="0"/>
      <w:marTop w:val="0"/>
      <w:marBottom w:val="0"/>
      <w:divBdr>
        <w:top w:val="none" w:sz="0" w:space="0" w:color="auto"/>
        <w:left w:val="none" w:sz="0" w:space="0" w:color="auto"/>
        <w:bottom w:val="none" w:sz="0" w:space="0" w:color="auto"/>
        <w:right w:val="none" w:sz="0" w:space="0" w:color="auto"/>
      </w:divBdr>
    </w:div>
    <w:div w:id="170339344">
      <w:bodyDiv w:val="1"/>
      <w:marLeft w:val="0"/>
      <w:marRight w:val="0"/>
      <w:marTop w:val="0"/>
      <w:marBottom w:val="0"/>
      <w:divBdr>
        <w:top w:val="none" w:sz="0" w:space="0" w:color="auto"/>
        <w:left w:val="none" w:sz="0" w:space="0" w:color="auto"/>
        <w:bottom w:val="none" w:sz="0" w:space="0" w:color="auto"/>
        <w:right w:val="none" w:sz="0" w:space="0" w:color="auto"/>
      </w:divBdr>
    </w:div>
    <w:div w:id="203835131">
      <w:bodyDiv w:val="1"/>
      <w:marLeft w:val="0"/>
      <w:marRight w:val="0"/>
      <w:marTop w:val="0"/>
      <w:marBottom w:val="0"/>
      <w:divBdr>
        <w:top w:val="none" w:sz="0" w:space="0" w:color="auto"/>
        <w:left w:val="none" w:sz="0" w:space="0" w:color="auto"/>
        <w:bottom w:val="none" w:sz="0" w:space="0" w:color="auto"/>
        <w:right w:val="none" w:sz="0" w:space="0" w:color="auto"/>
      </w:divBdr>
    </w:div>
    <w:div w:id="321130485">
      <w:bodyDiv w:val="1"/>
      <w:marLeft w:val="0"/>
      <w:marRight w:val="0"/>
      <w:marTop w:val="0"/>
      <w:marBottom w:val="0"/>
      <w:divBdr>
        <w:top w:val="none" w:sz="0" w:space="0" w:color="auto"/>
        <w:left w:val="none" w:sz="0" w:space="0" w:color="auto"/>
        <w:bottom w:val="none" w:sz="0" w:space="0" w:color="auto"/>
        <w:right w:val="none" w:sz="0" w:space="0" w:color="auto"/>
      </w:divBdr>
    </w:div>
    <w:div w:id="338315123">
      <w:bodyDiv w:val="1"/>
      <w:marLeft w:val="0"/>
      <w:marRight w:val="0"/>
      <w:marTop w:val="0"/>
      <w:marBottom w:val="0"/>
      <w:divBdr>
        <w:top w:val="none" w:sz="0" w:space="0" w:color="auto"/>
        <w:left w:val="none" w:sz="0" w:space="0" w:color="auto"/>
        <w:bottom w:val="none" w:sz="0" w:space="0" w:color="auto"/>
        <w:right w:val="none" w:sz="0" w:space="0" w:color="auto"/>
      </w:divBdr>
    </w:div>
    <w:div w:id="442650603">
      <w:bodyDiv w:val="1"/>
      <w:marLeft w:val="0"/>
      <w:marRight w:val="0"/>
      <w:marTop w:val="0"/>
      <w:marBottom w:val="0"/>
      <w:divBdr>
        <w:top w:val="none" w:sz="0" w:space="0" w:color="auto"/>
        <w:left w:val="none" w:sz="0" w:space="0" w:color="auto"/>
        <w:bottom w:val="none" w:sz="0" w:space="0" w:color="auto"/>
        <w:right w:val="none" w:sz="0" w:space="0" w:color="auto"/>
      </w:divBdr>
    </w:div>
    <w:div w:id="517081704">
      <w:bodyDiv w:val="1"/>
      <w:marLeft w:val="0"/>
      <w:marRight w:val="0"/>
      <w:marTop w:val="0"/>
      <w:marBottom w:val="0"/>
      <w:divBdr>
        <w:top w:val="none" w:sz="0" w:space="0" w:color="auto"/>
        <w:left w:val="none" w:sz="0" w:space="0" w:color="auto"/>
        <w:bottom w:val="none" w:sz="0" w:space="0" w:color="auto"/>
        <w:right w:val="none" w:sz="0" w:space="0" w:color="auto"/>
      </w:divBdr>
      <w:divsChild>
        <w:div w:id="1362050469">
          <w:marLeft w:val="547"/>
          <w:marRight w:val="0"/>
          <w:marTop w:val="120"/>
          <w:marBottom w:val="120"/>
          <w:divBdr>
            <w:top w:val="none" w:sz="0" w:space="0" w:color="auto"/>
            <w:left w:val="none" w:sz="0" w:space="0" w:color="auto"/>
            <w:bottom w:val="none" w:sz="0" w:space="0" w:color="auto"/>
            <w:right w:val="none" w:sz="0" w:space="0" w:color="auto"/>
          </w:divBdr>
        </w:div>
        <w:div w:id="1499074385">
          <w:marLeft w:val="547"/>
          <w:marRight w:val="0"/>
          <w:marTop w:val="120"/>
          <w:marBottom w:val="0"/>
          <w:divBdr>
            <w:top w:val="none" w:sz="0" w:space="0" w:color="auto"/>
            <w:left w:val="none" w:sz="0" w:space="0" w:color="auto"/>
            <w:bottom w:val="none" w:sz="0" w:space="0" w:color="auto"/>
            <w:right w:val="none" w:sz="0" w:space="0" w:color="auto"/>
          </w:divBdr>
        </w:div>
        <w:div w:id="885020634">
          <w:marLeft w:val="1267"/>
          <w:marRight w:val="0"/>
          <w:marTop w:val="120"/>
          <w:marBottom w:val="0"/>
          <w:divBdr>
            <w:top w:val="none" w:sz="0" w:space="0" w:color="auto"/>
            <w:left w:val="none" w:sz="0" w:space="0" w:color="auto"/>
            <w:bottom w:val="none" w:sz="0" w:space="0" w:color="auto"/>
            <w:right w:val="none" w:sz="0" w:space="0" w:color="auto"/>
          </w:divBdr>
        </w:div>
        <w:div w:id="1214543318">
          <w:marLeft w:val="1267"/>
          <w:marRight w:val="0"/>
          <w:marTop w:val="120"/>
          <w:marBottom w:val="0"/>
          <w:divBdr>
            <w:top w:val="none" w:sz="0" w:space="0" w:color="auto"/>
            <w:left w:val="none" w:sz="0" w:space="0" w:color="auto"/>
            <w:bottom w:val="none" w:sz="0" w:space="0" w:color="auto"/>
            <w:right w:val="none" w:sz="0" w:space="0" w:color="auto"/>
          </w:divBdr>
        </w:div>
        <w:div w:id="1232689161">
          <w:marLeft w:val="547"/>
          <w:marRight w:val="0"/>
          <w:marTop w:val="120"/>
          <w:marBottom w:val="0"/>
          <w:divBdr>
            <w:top w:val="none" w:sz="0" w:space="0" w:color="auto"/>
            <w:left w:val="none" w:sz="0" w:space="0" w:color="auto"/>
            <w:bottom w:val="none" w:sz="0" w:space="0" w:color="auto"/>
            <w:right w:val="none" w:sz="0" w:space="0" w:color="auto"/>
          </w:divBdr>
        </w:div>
        <w:div w:id="428626210">
          <w:marLeft w:val="547"/>
          <w:marRight w:val="0"/>
          <w:marTop w:val="120"/>
          <w:marBottom w:val="0"/>
          <w:divBdr>
            <w:top w:val="none" w:sz="0" w:space="0" w:color="auto"/>
            <w:left w:val="none" w:sz="0" w:space="0" w:color="auto"/>
            <w:bottom w:val="none" w:sz="0" w:space="0" w:color="auto"/>
            <w:right w:val="none" w:sz="0" w:space="0" w:color="auto"/>
          </w:divBdr>
        </w:div>
      </w:divsChild>
    </w:div>
    <w:div w:id="525563060">
      <w:bodyDiv w:val="1"/>
      <w:marLeft w:val="0"/>
      <w:marRight w:val="0"/>
      <w:marTop w:val="0"/>
      <w:marBottom w:val="0"/>
      <w:divBdr>
        <w:top w:val="none" w:sz="0" w:space="0" w:color="auto"/>
        <w:left w:val="none" w:sz="0" w:space="0" w:color="auto"/>
        <w:bottom w:val="none" w:sz="0" w:space="0" w:color="auto"/>
        <w:right w:val="none" w:sz="0" w:space="0" w:color="auto"/>
      </w:divBdr>
    </w:div>
    <w:div w:id="687828167">
      <w:bodyDiv w:val="1"/>
      <w:marLeft w:val="0"/>
      <w:marRight w:val="0"/>
      <w:marTop w:val="0"/>
      <w:marBottom w:val="0"/>
      <w:divBdr>
        <w:top w:val="none" w:sz="0" w:space="0" w:color="auto"/>
        <w:left w:val="none" w:sz="0" w:space="0" w:color="auto"/>
        <w:bottom w:val="none" w:sz="0" w:space="0" w:color="auto"/>
        <w:right w:val="none" w:sz="0" w:space="0" w:color="auto"/>
      </w:divBdr>
      <w:divsChild>
        <w:div w:id="1376193638">
          <w:marLeft w:val="547"/>
          <w:marRight w:val="0"/>
          <w:marTop w:val="120"/>
          <w:marBottom w:val="120"/>
          <w:divBdr>
            <w:top w:val="none" w:sz="0" w:space="0" w:color="auto"/>
            <w:left w:val="none" w:sz="0" w:space="0" w:color="auto"/>
            <w:bottom w:val="none" w:sz="0" w:space="0" w:color="auto"/>
            <w:right w:val="none" w:sz="0" w:space="0" w:color="auto"/>
          </w:divBdr>
        </w:div>
      </w:divsChild>
    </w:div>
    <w:div w:id="761344202">
      <w:bodyDiv w:val="1"/>
      <w:marLeft w:val="0"/>
      <w:marRight w:val="0"/>
      <w:marTop w:val="0"/>
      <w:marBottom w:val="0"/>
      <w:divBdr>
        <w:top w:val="none" w:sz="0" w:space="0" w:color="auto"/>
        <w:left w:val="none" w:sz="0" w:space="0" w:color="auto"/>
        <w:bottom w:val="none" w:sz="0" w:space="0" w:color="auto"/>
        <w:right w:val="none" w:sz="0" w:space="0" w:color="auto"/>
      </w:divBdr>
    </w:div>
    <w:div w:id="84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25110173">
          <w:marLeft w:val="547"/>
          <w:marRight w:val="0"/>
          <w:marTop w:val="120"/>
          <w:marBottom w:val="120"/>
          <w:divBdr>
            <w:top w:val="none" w:sz="0" w:space="0" w:color="auto"/>
            <w:left w:val="none" w:sz="0" w:space="0" w:color="auto"/>
            <w:bottom w:val="none" w:sz="0" w:space="0" w:color="auto"/>
            <w:right w:val="none" w:sz="0" w:space="0" w:color="auto"/>
          </w:divBdr>
        </w:div>
        <w:div w:id="2047677085">
          <w:marLeft w:val="1267"/>
          <w:marRight w:val="0"/>
          <w:marTop w:val="120"/>
          <w:marBottom w:val="120"/>
          <w:divBdr>
            <w:top w:val="none" w:sz="0" w:space="0" w:color="auto"/>
            <w:left w:val="none" w:sz="0" w:space="0" w:color="auto"/>
            <w:bottom w:val="none" w:sz="0" w:space="0" w:color="auto"/>
            <w:right w:val="none" w:sz="0" w:space="0" w:color="auto"/>
          </w:divBdr>
        </w:div>
        <w:div w:id="1535145001">
          <w:marLeft w:val="547"/>
          <w:marRight w:val="0"/>
          <w:marTop w:val="120"/>
          <w:marBottom w:val="120"/>
          <w:divBdr>
            <w:top w:val="none" w:sz="0" w:space="0" w:color="auto"/>
            <w:left w:val="none" w:sz="0" w:space="0" w:color="auto"/>
            <w:bottom w:val="none" w:sz="0" w:space="0" w:color="auto"/>
            <w:right w:val="none" w:sz="0" w:space="0" w:color="auto"/>
          </w:divBdr>
        </w:div>
        <w:div w:id="1759249417">
          <w:marLeft w:val="547"/>
          <w:marRight w:val="0"/>
          <w:marTop w:val="120"/>
          <w:marBottom w:val="120"/>
          <w:divBdr>
            <w:top w:val="none" w:sz="0" w:space="0" w:color="auto"/>
            <w:left w:val="none" w:sz="0" w:space="0" w:color="auto"/>
            <w:bottom w:val="none" w:sz="0" w:space="0" w:color="auto"/>
            <w:right w:val="none" w:sz="0" w:space="0" w:color="auto"/>
          </w:divBdr>
        </w:div>
        <w:div w:id="922030679">
          <w:marLeft w:val="547"/>
          <w:marRight w:val="0"/>
          <w:marTop w:val="120"/>
          <w:marBottom w:val="120"/>
          <w:divBdr>
            <w:top w:val="none" w:sz="0" w:space="0" w:color="auto"/>
            <w:left w:val="none" w:sz="0" w:space="0" w:color="auto"/>
            <w:bottom w:val="none" w:sz="0" w:space="0" w:color="auto"/>
            <w:right w:val="none" w:sz="0" w:space="0" w:color="auto"/>
          </w:divBdr>
        </w:div>
      </w:divsChild>
    </w:div>
    <w:div w:id="955715869">
      <w:bodyDiv w:val="1"/>
      <w:marLeft w:val="0"/>
      <w:marRight w:val="0"/>
      <w:marTop w:val="0"/>
      <w:marBottom w:val="0"/>
      <w:divBdr>
        <w:top w:val="none" w:sz="0" w:space="0" w:color="auto"/>
        <w:left w:val="none" w:sz="0" w:space="0" w:color="auto"/>
        <w:bottom w:val="none" w:sz="0" w:space="0" w:color="auto"/>
        <w:right w:val="none" w:sz="0" w:space="0" w:color="auto"/>
      </w:divBdr>
    </w:div>
    <w:div w:id="986662417">
      <w:bodyDiv w:val="1"/>
      <w:marLeft w:val="0"/>
      <w:marRight w:val="0"/>
      <w:marTop w:val="0"/>
      <w:marBottom w:val="0"/>
      <w:divBdr>
        <w:top w:val="none" w:sz="0" w:space="0" w:color="auto"/>
        <w:left w:val="none" w:sz="0" w:space="0" w:color="auto"/>
        <w:bottom w:val="none" w:sz="0" w:space="0" w:color="auto"/>
        <w:right w:val="none" w:sz="0" w:space="0" w:color="auto"/>
      </w:divBdr>
    </w:div>
    <w:div w:id="997001134">
      <w:bodyDiv w:val="1"/>
      <w:marLeft w:val="0"/>
      <w:marRight w:val="0"/>
      <w:marTop w:val="0"/>
      <w:marBottom w:val="0"/>
      <w:divBdr>
        <w:top w:val="none" w:sz="0" w:space="0" w:color="auto"/>
        <w:left w:val="none" w:sz="0" w:space="0" w:color="auto"/>
        <w:bottom w:val="none" w:sz="0" w:space="0" w:color="auto"/>
        <w:right w:val="none" w:sz="0" w:space="0" w:color="auto"/>
      </w:divBdr>
      <w:divsChild>
        <w:div w:id="419565760">
          <w:marLeft w:val="360"/>
          <w:marRight w:val="0"/>
          <w:marTop w:val="0"/>
          <w:marBottom w:val="360"/>
          <w:divBdr>
            <w:top w:val="none" w:sz="0" w:space="0" w:color="auto"/>
            <w:left w:val="none" w:sz="0" w:space="0" w:color="auto"/>
            <w:bottom w:val="none" w:sz="0" w:space="0" w:color="auto"/>
            <w:right w:val="none" w:sz="0" w:space="0" w:color="auto"/>
          </w:divBdr>
        </w:div>
        <w:div w:id="2025597201">
          <w:marLeft w:val="360"/>
          <w:marRight w:val="0"/>
          <w:marTop w:val="0"/>
          <w:marBottom w:val="360"/>
          <w:divBdr>
            <w:top w:val="none" w:sz="0" w:space="0" w:color="auto"/>
            <w:left w:val="none" w:sz="0" w:space="0" w:color="auto"/>
            <w:bottom w:val="none" w:sz="0" w:space="0" w:color="auto"/>
            <w:right w:val="none" w:sz="0" w:space="0" w:color="auto"/>
          </w:divBdr>
        </w:div>
        <w:div w:id="185749892">
          <w:marLeft w:val="1080"/>
          <w:marRight w:val="0"/>
          <w:marTop w:val="100"/>
          <w:marBottom w:val="120"/>
          <w:divBdr>
            <w:top w:val="none" w:sz="0" w:space="0" w:color="auto"/>
            <w:left w:val="none" w:sz="0" w:space="0" w:color="auto"/>
            <w:bottom w:val="none" w:sz="0" w:space="0" w:color="auto"/>
            <w:right w:val="none" w:sz="0" w:space="0" w:color="auto"/>
          </w:divBdr>
        </w:div>
        <w:div w:id="849101646">
          <w:marLeft w:val="1080"/>
          <w:marRight w:val="0"/>
          <w:marTop w:val="100"/>
          <w:marBottom w:val="120"/>
          <w:divBdr>
            <w:top w:val="none" w:sz="0" w:space="0" w:color="auto"/>
            <w:left w:val="none" w:sz="0" w:space="0" w:color="auto"/>
            <w:bottom w:val="none" w:sz="0" w:space="0" w:color="auto"/>
            <w:right w:val="none" w:sz="0" w:space="0" w:color="auto"/>
          </w:divBdr>
        </w:div>
        <w:div w:id="965432233">
          <w:marLeft w:val="1080"/>
          <w:marRight w:val="0"/>
          <w:marTop w:val="100"/>
          <w:marBottom w:val="120"/>
          <w:divBdr>
            <w:top w:val="none" w:sz="0" w:space="0" w:color="auto"/>
            <w:left w:val="none" w:sz="0" w:space="0" w:color="auto"/>
            <w:bottom w:val="none" w:sz="0" w:space="0" w:color="auto"/>
            <w:right w:val="none" w:sz="0" w:space="0" w:color="auto"/>
          </w:divBdr>
        </w:div>
        <w:div w:id="1019042430">
          <w:marLeft w:val="1080"/>
          <w:marRight w:val="0"/>
          <w:marTop w:val="100"/>
          <w:marBottom w:val="120"/>
          <w:divBdr>
            <w:top w:val="none" w:sz="0" w:space="0" w:color="auto"/>
            <w:left w:val="none" w:sz="0" w:space="0" w:color="auto"/>
            <w:bottom w:val="none" w:sz="0" w:space="0" w:color="auto"/>
            <w:right w:val="none" w:sz="0" w:space="0" w:color="auto"/>
          </w:divBdr>
        </w:div>
        <w:div w:id="1013266841">
          <w:marLeft w:val="1080"/>
          <w:marRight w:val="0"/>
          <w:marTop w:val="100"/>
          <w:marBottom w:val="120"/>
          <w:divBdr>
            <w:top w:val="none" w:sz="0" w:space="0" w:color="auto"/>
            <w:left w:val="none" w:sz="0" w:space="0" w:color="auto"/>
            <w:bottom w:val="none" w:sz="0" w:space="0" w:color="auto"/>
            <w:right w:val="none" w:sz="0" w:space="0" w:color="auto"/>
          </w:divBdr>
        </w:div>
      </w:divsChild>
    </w:div>
    <w:div w:id="1311783454">
      <w:bodyDiv w:val="1"/>
      <w:marLeft w:val="0"/>
      <w:marRight w:val="0"/>
      <w:marTop w:val="0"/>
      <w:marBottom w:val="0"/>
      <w:divBdr>
        <w:top w:val="none" w:sz="0" w:space="0" w:color="auto"/>
        <w:left w:val="none" w:sz="0" w:space="0" w:color="auto"/>
        <w:bottom w:val="none" w:sz="0" w:space="0" w:color="auto"/>
        <w:right w:val="none" w:sz="0" w:space="0" w:color="auto"/>
      </w:divBdr>
    </w:div>
    <w:div w:id="1326278859">
      <w:bodyDiv w:val="1"/>
      <w:marLeft w:val="0"/>
      <w:marRight w:val="0"/>
      <w:marTop w:val="0"/>
      <w:marBottom w:val="0"/>
      <w:divBdr>
        <w:top w:val="none" w:sz="0" w:space="0" w:color="auto"/>
        <w:left w:val="none" w:sz="0" w:space="0" w:color="auto"/>
        <w:bottom w:val="none" w:sz="0" w:space="0" w:color="auto"/>
        <w:right w:val="none" w:sz="0" w:space="0" w:color="auto"/>
      </w:divBdr>
    </w:div>
    <w:div w:id="1335962510">
      <w:bodyDiv w:val="1"/>
      <w:marLeft w:val="0"/>
      <w:marRight w:val="0"/>
      <w:marTop w:val="0"/>
      <w:marBottom w:val="0"/>
      <w:divBdr>
        <w:top w:val="none" w:sz="0" w:space="0" w:color="auto"/>
        <w:left w:val="none" w:sz="0" w:space="0" w:color="auto"/>
        <w:bottom w:val="none" w:sz="0" w:space="0" w:color="auto"/>
        <w:right w:val="none" w:sz="0" w:space="0" w:color="auto"/>
      </w:divBdr>
      <w:divsChild>
        <w:div w:id="327444613">
          <w:marLeft w:val="0"/>
          <w:marRight w:val="0"/>
          <w:marTop w:val="0"/>
          <w:marBottom w:val="0"/>
          <w:divBdr>
            <w:top w:val="none" w:sz="0" w:space="0" w:color="auto"/>
            <w:left w:val="none" w:sz="0" w:space="0" w:color="auto"/>
            <w:bottom w:val="none" w:sz="0" w:space="0" w:color="auto"/>
            <w:right w:val="none" w:sz="0" w:space="0" w:color="auto"/>
          </w:divBdr>
          <w:divsChild>
            <w:div w:id="2010787887">
              <w:marLeft w:val="0"/>
              <w:marRight w:val="0"/>
              <w:marTop w:val="0"/>
              <w:marBottom w:val="0"/>
              <w:divBdr>
                <w:top w:val="none" w:sz="0" w:space="0" w:color="auto"/>
                <w:left w:val="none" w:sz="0" w:space="0" w:color="auto"/>
                <w:bottom w:val="none" w:sz="0" w:space="0" w:color="auto"/>
                <w:right w:val="none" w:sz="0" w:space="0" w:color="auto"/>
              </w:divBdr>
              <w:divsChild>
                <w:div w:id="1985698038">
                  <w:marLeft w:val="0"/>
                  <w:marRight w:val="0"/>
                  <w:marTop w:val="0"/>
                  <w:marBottom w:val="0"/>
                  <w:divBdr>
                    <w:top w:val="none" w:sz="0" w:space="0" w:color="auto"/>
                    <w:left w:val="none" w:sz="0" w:space="0" w:color="auto"/>
                    <w:bottom w:val="none" w:sz="0" w:space="0" w:color="auto"/>
                    <w:right w:val="none" w:sz="0" w:space="0" w:color="auto"/>
                  </w:divBdr>
                  <w:divsChild>
                    <w:div w:id="1172716638">
                      <w:marLeft w:val="0"/>
                      <w:marRight w:val="0"/>
                      <w:marTop w:val="0"/>
                      <w:marBottom w:val="0"/>
                      <w:divBdr>
                        <w:top w:val="none" w:sz="0" w:space="0" w:color="auto"/>
                        <w:left w:val="none" w:sz="0" w:space="0" w:color="auto"/>
                        <w:bottom w:val="none" w:sz="0" w:space="0" w:color="auto"/>
                        <w:right w:val="none" w:sz="0" w:space="0" w:color="auto"/>
                      </w:divBdr>
                      <w:divsChild>
                        <w:div w:id="1261329907">
                          <w:marLeft w:val="0"/>
                          <w:marRight w:val="0"/>
                          <w:marTop w:val="0"/>
                          <w:marBottom w:val="0"/>
                          <w:divBdr>
                            <w:top w:val="none" w:sz="0" w:space="0" w:color="auto"/>
                            <w:left w:val="none" w:sz="0" w:space="0" w:color="auto"/>
                            <w:bottom w:val="none" w:sz="0" w:space="0" w:color="auto"/>
                            <w:right w:val="none" w:sz="0" w:space="0" w:color="auto"/>
                          </w:divBdr>
                          <w:divsChild>
                            <w:div w:id="220095560">
                              <w:marLeft w:val="0"/>
                              <w:marRight w:val="0"/>
                              <w:marTop w:val="0"/>
                              <w:marBottom w:val="0"/>
                              <w:divBdr>
                                <w:top w:val="none" w:sz="0" w:space="0" w:color="auto"/>
                                <w:left w:val="none" w:sz="0" w:space="0" w:color="auto"/>
                                <w:bottom w:val="none" w:sz="0" w:space="0" w:color="auto"/>
                                <w:right w:val="none" w:sz="0" w:space="0" w:color="auto"/>
                              </w:divBdr>
                              <w:divsChild>
                                <w:div w:id="430011370">
                                  <w:marLeft w:val="0"/>
                                  <w:marRight w:val="0"/>
                                  <w:marTop w:val="0"/>
                                  <w:marBottom w:val="0"/>
                                  <w:divBdr>
                                    <w:top w:val="none" w:sz="0" w:space="0" w:color="auto"/>
                                    <w:left w:val="none" w:sz="0" w:space="0" w:color="auto"/>
                                    <w:bottom w:val="none" w:sz="0" w:space="0" w:color="auto"/>
                                    <w:right w:val="none" w:sz="0" w:space="0" w:color="auto"/>
                                  </w:divBdr>
                                  <w:divsChild>
                                    <w:div w:id="1142625309">
                                      <w:marLeft w:val="0"/>
                                      <w:marRight w:val="0"/>
                                      <w:marTop w:val="0"/>
                                      <w:marBottom w:val="0"/>
                                      <w:divBdr>
                                        <w:top w:val="none" w:sz="0" w:space="0" w:color="auto"/>
                                        <w:left w:val="none" w:sz="0" w:space="0" w:color="auto"/>
                                        <w:bottom w:val="none" w:sz="0" w:space="0" w:color="auto"/>
                                        <w:right w:val="none" w:sz="0" w:space="0" w:color="auto"/>
                                      </w:divBdr>
                                      <w:divsChild>
                                        <w:div w:id="852381773">
                                          <w:marLeft w:val="0"/>
                                          <w:marRight w:val="0"/>
                                          <w:marTop w:val="0"/>
                                          <w:marBottom w:val="0"/>
                                          <w:divBdr>
                                            <w:top w:val="none" w:sz="0" w:space="0" w:color="auto"/>
                                            <w:left w:val="none" w:sz="0" w:space="0" w:color="auto"/>
                                            <w:bottom w:val="none" w:sz="0" w:space="0" w:color="auto"/>
                                            <w:right w:val="none" w:sz="0" w:space="0" w:color="auto"/>
                                          </w:divBdr>
                                          <w:divsChild>
                                            <w:div w:id="1867786191">
                                              <w:marLeft w:val="0"/>
                                              <w:marRight w:val="0"/>
                                              <w:marTop w:val="0"/>
                                              <w:marBottom w:val="0"/>
                                              <w:divBdr>
                                                <w:top w:val="none" w:sz="0" w:space="0" w:color="auto"/>
                                                <w:left w:val="none" w:sz="0" w:space="0" w:color="auto"/>
                                                <w:bottom w:val="none" w:sz="0" w:space="0" w:color="auto"/>
                                                <w:right w:val="none" w:sz="0" w:space="0" w:color="auto"/>
                                              </w:divBdr>
                                              <w:divsChild>
                                                <w:div w:id="1862280461">
                                                  <w:marLeft w:val="0"/>
                                                  <w:marRight w:val="0"/>
                                                  <w:marTop w:val="0"/>
                                                  <w:marBottom w:val="0"/>
                                                  <w:divBdr>
                                                    <w:top w:val="none" w:sz="0" w:space="0" w:color="auto"/>
                                                    <w:left w:val="none" w:sz="0" w:space="0" w:color="auto"/>
                                                    <w:bottom w:val="none" w:sz="0" w:space="0" w:color="auto"/>
                                                    <w:right w:val="none" w:sz="0" w:space="0" w:color="auto"/>
                                                  </w:divBdr>
                                                  <w:divsChild>
                                                    <w:div w:id="1532497957">
                                                      <w:marLeft w:val="0"/>
                                                      <w:marRight w:val="0"/>
                                                      <w:marTop w:val="0"/>
                                                      <w:marBottom w:val="0"/>
                                                      <w:divBdr>
                                                        <w:top w:val="none" w:sz="0" w:space="0" w:color="auto"/>
                                                        <w:left w:val="none" w:sz="0" w:space="0" w:color="auto"/>
                                                        <w:bottom w:val="none" w:sz="0" w:space="0" w:color="auto"/>
                                                        <w:right w:val="none" w:sz="0" w:space="0" w:color="auto"/>
                                                      </w:divBdr>
                                                      <w:divsChild>
                                                        <w:div w:id="919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8987523">
      <w:bodyDiv w:val="1"/>
      <w:marLeft w:val="0"/>
      <w:marRight w:val="0"/>
      <w:marTop w:val="0"/>
      <w:marBottom w:val="0"/>
      <w:divBdr>
        <w:top w:val="none" w:sz="0" w:space="0" w:color="auto"/>
        <w:left w:val="none" w:sz="0" w:space="0" w:color="auto"/>
        <w:bottom w:val="none" w:sz="0" w:space="0" w:color="auto"/>
        <w:right w:val="none" w:sz="0" w:space="0" w:color="auto"/>
      </w:divBdr>
    </w:div>
    <w:div w:id="1554853050">
      <w:bodyDiv w:val="1"/>
      <w:marLeft w:val="0"/>
      <w:marRight w:val="0"/>
      <w:marTop w:val="0"/>
      <w:marBottom w:val="0"/>
      <w:divBdr>
        <w:top w:val="none" w:sz="0" w:space="0" w:color="auto"/>
        <w:left w:val="none" w:sz="0" w:space="0" w:color="auto"/>
        <w:bottom w:val="none" w:sz="0" w:space="0" w:color="auto"/>
        <w:right w:val="none" w:sz="0" w:space="0" w:color="auto"/>
      </w:divBdr>
      <w:divsChild>
        <w:div w:id="1361778999">
          <w:marLeft w:val="1282"/>
          <w:marRight w:val="0"/>
          <w:marTop w:val="0"/>
          <w:marBottom w:val="0"/>
          <w:divBdr>
            <w:top w:val="none" w:sz="0" w:space="0" w:color="auto"/>
            <w:left w:val="none" w:sz="0" w:space="0" w:color="auto"/>
            <w:bottom w:val="none" w:sz="0" w:space="0" w:color="auto"/>
            <w:right w:val="none" w:sz="0" w:space="0" w:color="auto"/>
          </w:divBdr>
        </w:div>
      </w:divsChild>
    </w:div>
    <w:div w:id="1595044680">
      <w:bodyDiv w:val="1"/>
      <w:marLeft w:val="0"/>
      <w:marRight w:val="0"/>
      <w:marTop w:val="0"/>
      <w:marBottom w:val="0"/>
      <w:divBdr>
        <w:top w:val="none" w:sz="0" w:space="0" w:color="auto"/>
        <w:left w:val="none" w:sz="0" w:space="0" w:color="auto"/>
        <w:bottom w:val="none" w:sz="0" w:space="0" w:color="auto"/>
        <w:right w:val="none" w:sz="0" w:space="0" w:color="auto"/>
      </w:divBdr>
      <w:divsChild>
        <w:div w:id="1116098702">
          <w:marLeft w:val="360"/>
          <w:marRight w:val="0"/>
          <w:marTop w:val="0"/>
          <w:marBottom w:val="120"/>
          <w:divBdr>
            <w:top w:val="none" w:sz="0" w:space="0" w:color="auto"/>
            <w:left w:val="none" w:sz="0" w:space="0" w:color="auto"/>
            <w:bottom w:val="none" w:sz="0" w:space="0" w:color="auto"/>
            <w:right w:val="none" w:sz="0" w:space="0" w:color="auto"/>
          </w:divBdr>
        </w:div>
        <w:div w:id="1524172686">
          <w:marLeft w:val="1728"/>
          <w:marRight w:val="0"/>
          <w:marTop w:val="100"/>
          <w:marBottom w:val="120"/>
          <w:divBdr>
            <w:top w:val="none" w:sz="0" w:space="0" w:color="auto"/>
            <w:left w:val="none" w:sz="0" w:space="0" w:color="auto"/>
            <w:bottom w:val="none" w:sz="0" w:space="0" w:color="auto"/>
            <w:right w:val="none" w:sz="0" w:space="0" w:color="auto"/>
          </w:divBdr>
        </w:div>
        <w:div w:id="1188449267">
          <w:marLeft w:val="1728"/>
          <w:marRight w:val="0"/>
          <w:marTop w:val="100"/>
          <w:marBottom w:val="120"/>
          <w:divBdr>
            <w:top w:val="none" w:sz="0" w:space="0" w:color="auto"/>
            <w:left w:val="none" w:sz="0" w:space="0" w:color="auto"/>
            <w:bottom w:val="none" w:sz="0" w:space="0" w:color="auto"/>
            <w:right w:val="none" w:sz="0" w:space="0" w:color="auto"/>
          </w:divBdr>
        </w:div>
        <w:div w:id="578910781">
          <w:marLeft w:val="1728"/>
          <w:marRight w:val="0"/>
          <w:marTop w:val="100"/>
          <w:marBottom w:val="120"/>
          <w:divBdr>
            <w:top w:val="none" w:sz="0" w:space="0" w:color="auto"/>
            <w:left w:val="none" w:sz="0" w:space="0" w:color="auto"/>
            <w:bottom w:val="none" w:sz="0" w:space="0" w:color="auto"/>
            <w:right w:val="none" w:sz="0" w:space="0" w:color="auto"/>
          </w:divBdr>
        </w:div>
        <w:div w:id="1176993186">
          <w:marLeft w:val="360"/>
          <w:marRight w:val="0"/>
          <w:marTop w:val="0"/>
          <w:marBottom w:val="120"/>
          <w:divBdr>
            <w:top w:val="none" w:sz="0" w:space="0" w:color="auto"/>
            <w:left w:val="none" w:sz="0" w:space="0" w:color="auto"/>
            <w:bottom w:val="none" w:sz="0" w:space="0" w:color="auto"/>
            <w:right w:val="none" w:sz="0" w:space="0" w:color="auto"/>
          </w:divBdr>
        </w:div>
        <w:div w:id="327854">
          <w:marLeft w:val="1080"/>
          <w:marRight w:val="0"/>
          <w:marTop w:val="100"/>
          <w:marBottom w:val="120"/>
          <w:divBdr>
            <w:top w:val="none" w:sz="0" w:space="0" w:color="auto"/>
            <w:left w:val="none" w:sz="0" w:space="0" w:color="auto"/>
            <w:bottom w:val="none" w:sz="0" w:space="0" w:color="auto"/>
            <w:right w:val="none" w:sz="0" w:space="0" w:color="auto"/>
          </w:divBdr>
        </w:div>
        <w:div w:id="32971120">
          <w:marLeft w:val="1080"/>
          <w:marRight w:val="0"/>
          <w:marTop w:val="100"/>
          <w:marBottom w:val="120"/>
          <w:divBdr>
            <w:top w:val="none" w:sz="0" w:space="0" w:color="auto"/>
            <w:left w:val="none" w:sz="0" w:space="0" w:color="auto"/>
            <w:bottom w:val="none" w:sz="0" w:space="0" w:color="auto"/>
            <w:right w:val="none" w:sz="0" w:space="0" w:color="auto"/>
          </w:divBdr>
        </w:div>
        <w:div w:id="1523399760">
          <w:marLeft w:val="1080"/>
          <w:marRight w:val="0"/>
          <w:marTop w:val="100"/>
          <w:marBottom w:val="120"/>
          <w:divBdr>
            <w:top w:val="none" w:sz="0" w:space="0" w:color="auto"/>
            <w:left w:val="none" w:sz="0" w:space="0" w:color="auto"/>
            <w:bottom w:val="none" w:sz="0" w:space="0" w:color="auto"/>
            <w:right w:val="none" w:sz="0" w:space="0" w:color="auto"/>
          </w:divBdr>
        </w:div>
      </w:divsChild>
    </w:div>
    <w:div w:id="1595934316">
      <w:bodyDiv w:val="1"/>
      <w:marLeft w:val="0"/>
      <w:marRight w:val="0"/>
      <w:marTop w:val="0"/>
      <w:marBottom w:val="0"/>
      <w:divBdr>
        <w:top w:val="none" w:sz="0" w:space="0" w:color="auto"/>
        <w:left w:val="none" w:sz="0" w:space="0" w:color="auto"/>
        <w:bottom w:val="none" w:sz="0" w:space="0" w:color="auto"/>
        <w:right w:val="none" w:sz="0" w:space="0" w:color="auto"/>
      </w:divBdr>
    </w:div>
    <w:div w:id="1638609901">
      <w:bodyDiv w:val="1"/>
      <w:marLeft w:val="0"/>
      <w:marRight w:val="0"/>
      <w:marTop w:val="0"/>
      <w:marBottom w:val="0"/>
      <w:divBdr>
        <w:top w:val="none" w:sz="0" w:space="0" w:color="auto"/>
        <w:left w:val="none" w:sz="0" w:space="0" w:color="auto"/>
        <w:bottom w:val="none" w:sz="0" w:space="0" w:color="auto"/>
        <w:right w:val="none" w:sz="0" w:space="0" w:color="auto"/>
      </w:divBdr>
      <w:divsChild>
        <w:div w:id="288899762">
          <w:marLeft w:val="360"/>
          <w:marRight w:val="0"/>
          <w:marTop w:val="0"/>
          <w:marBottom w:val="360"/>
          <w:divBdr>
            <w:top w:val="none" w:sz="0" w:space="0" w:color="auto"/>
            <w:left w:val="none" w:sz="0" w:space="0" w:color="auto"/>
            <w:bottom w:val="none" w:sz="0" w:space="0" w:color="auto"/>
            <w:right w:val="none" w:sz="0" w:space="0" w:color="auto"/>
          </w:divBdr>
        </w:div>
        <w:div w:id="1009865886">
          <w:marLeft w:val="360"/>
          <w:marRight w:val="0"/>
          <w:marTop w:val="0"/>
          <w:marBottom w:val="360"/>
          <w:divBdr>
            <w:top w:val="none" w:sz="0" w:space="0" w:color="auto"/>
            <w:left w:val="none" w:sz="0" w:space="0" w:color="auto"/>
            <w:bottom w:val="none" w:sz="0" w:space="0" w:color="auto"/>
            <w:right w:val="none" w:sz="0" w:space="0" w:color="auto"/>
          </w:divBdr>
        </w:div>
        <w:div w:id="1654678662">
          <w:marLeft w:val="360"/>
          <w:marRight w:val="0"/>
          <w:marTop w:val="0"/>
          <w:marBottom w:val="360"/>
          <w:divBdr>
            <w:top w:val="none" w:sz="0" w:space="0" w:color="auto"/>
            <w:left w:val="none" w:sz="0" w:space="0" w:color="auto"/>
            <w:bottom w:val="none" w:sz="0" w:space="0" w:color="auto"/>
            <w:right w:val="none" w:sz="0" w:space="0" w:color="auto"/>
          </w:divBdr>
        </w:div>
        <w:div w:id="633871944">
          <w:marLeft w:val="360"/>
          <w:marRight w:val="0"/>
          <w:marTop w:val="0"/>
          <w:marBottom w:val="360"/>
          <w:divBdr>
            <w:top w:val="none" w:sz="0" w:space="0" w:color="auto"/>
            <w:left w:val="none" w:sz="0" w:space="0" w:color="auto"/>
            <w:bottom w:val="none" w:sz="0" w:space="0" w:color="auto"/>
            <w:right w:val="none" w:sz="0" w:space="0" w:color="auto"/>
          </w:divBdr>
        </w:div>
        <w:div w:id="1575120369">
          <w:marLeft w:val="360"/>
          <w:marRight w:val="0"/>
          <w:marTop w:val="0"/>
          <w:marBottom w:val="360"/>
          <w:divBdr>
            <w:top w:val="none" w:sz="0" w:space="0" w:color="auto"/>
            <w:left w:val="none" w:sz="0" w:space="0" w:color="auto"/>
            <w:bottom w:val="none" w:sz="0" w:space="0" w:color="auto"/>
            <w:right w:val="none" w:sz="0" w:space="0" w:color="auto"/>
          </w:divBdr>
        </w:div>
        <w:div w:id="1480733579">
          <w:marLeft w:val="360"/>
          <w:marRight w:val="0"/>
          <w:marTop w:val="0"/>
          <w:marBottom w:val="360"/>
          <w:divBdr>
            <w:top w:val="none" w:sz="0" w:space="0" w:color="auto"/>
            <w:left w:val="none" w:sz="0" w:space="0" w:color="auto"/>
            <w:bottom w:val="none" w:sz="0" w:space="0" w:color="auto"/>
            <w:right w:val="none" w:sz="0" w:space="0" w:color="auto"/>
          </w:divBdr>
        </w:div>
      </w:divsChild>
    </w:div>
    <w:div w:id="1671251330">
      <w:bodyDiv w:val="1"/>
      <w:marLeft w:val="0"/>
      <w:marRight w:val="0"/>
      <w:marTop w:val="0"/>
      <w:marBottom w:val="0"/>
      <w:divBdr>
        <w:top w:val="none" w:sz="0" w:space="0" w:color="auto"/>
        <w:left w:val="none" w:sz="0" w:space="0" w:color="auto"/>
        <w:bottom w:val="none" w:sz="0" w:space="0" w:color="auto"/>
        <w:right w:val="none" w:sz="0" w:space="0" w:color="auto"/>
      </w:divBdr>
    </w:div>
    <w:div w:id="1679114309">
      <w:bodyDiv w:val="1"/>
      <w:marLeft w:val="0"/>
      <w:marRight w:val="0"/>
      <w:marTop w:val="0"/>
      <w:marBottom w:val="0"/>
      <w:divBdr>
        <w:top w:val="none" w:sz="0" w:space="0" w:color="auto"/>
        <w:left w:val="none" w:sz="0" w:space="0" w:color="auto"/>
        <w:bottom w:val="none" w:sz="0" w:space="0" w:color="auto"/>
        <w:right w:val="none" w:sz="0" w:space="0" w:color="auto"/>
      </w:divBdr>
    </w:div>
    <w:div w:id="1763989382">
      <w:bodyDiv w:val="1"/>
      <w:marLeft w:val="0"/>
      <w:marRight w:val="0"/>
      <w:marTop w:val="0"/>
      <w:marBottom w:val="0"/>
      <w:divBdr>
        <w:top w:val="none" w:sz="0" w:space="0" w:color="auto"/>
        <w:left w:val="none" w:sz="0" w:space="0" w:color="auto"/>
        <w:bottom w:val="none" w:sz="0" w:space="0" w:color="auto"/>
        <w:right w:val="none" w:sz="0" w:space="0" w:color="auto"/>
      </w:divBdr>
    </w:div>
    <w:div w:id="1805344751">
      <w:bodyDiv w:val="1"/>
      <w:marLeft w:val="0"/>
      <w:marRight w:val="0"/>
      <w:marTop w:val="0"/>
      <w:marBottom w:val="0"/>
      <w:divBdr>
        <w:top w:val="none" w:sz="0" w:space="0" w:color="auto"/>
        <w:left w:val="none" w:sz="0" w:space="0" w:color="auto"/>
        <w:bottom w:val="none" w:sz="0" w:space="0" w:color="auto"/>
        <w:right w:val="none" w:sz="0" w:space="0" w:color="auto"/>
      </w:divBdr>
    </w:div>
    <w:div w:id="1880042985">
      <w:bodyDiv w:val="1"/>
      <w:marLeft w:val="0"/>
      <w:marRight w:val="0"/>
      <w:marTop w:val="0"/>
      <w:marBottom w:val="0"/>
      <w:divBdr>
        <w:top w:val="none" w:sz="0" w:space="0" w:color="auto"/>
        <w:left w:val="none" w:sz="0" w:space="0" w:color="auto"/>
        <w:bottom w:val="none" w:sz="0" w:space="0" w:color="auto"/>
        <w:right w:val="none" w:sz="0" w:space="0" w:color="auto"/>
      </w:divBdr>
    </w:div>
    <w:div w:id="1919364924">
      <w:bodyDiv w:val="1"/>
      <w:marLeft w:val="0"/>
      <w:marRight w:val="0"/>
      <w:marTop w:val="0"/>
      <w:marBottom w:val="0"/>
      <w:divBdr>
        <w:top w:val="none" w:sz="0" w:space="0" w:color="auto"/>
        <w:left w:val="none" w:sz="0" w:space="0" w:color="auto"/>
        <w:bottom w:val="none" w:sz="0" w:space="0" w:color="auto"/>
        <w:right w:val="none" w:sz="0" w:space="0" w:color="auto"/>
      </w:divBdr>
    </w:div>
    <w:div w:id="1979872266">
      <w:bodyDiv w:val="1"/>
      <w:marLeft w:val="0"/>
      <w:marRight w:val="0"/>
      <w:marTop w:val="0"/>
      <w:marBottom w:val="0"/>
      <w:divBdr>
        <w:top w:val="none" w:sz="0" w:space="0" w:color="auto"/>
        <w:left w:val="none" w:sz="0" w:space="0" w:color="auto"/>
        <w:bottom w:val="none" w:sz="0" w:space="0" w:color="auto"/>
        <w:right w:val="none" w:sz="0" w:space="0" w:color="auto"/>
      </w:divBdr>
    </w:div>
    <w:div w:id="2017613537">
      <w:bodyDiv w:val="1"/>
      <w:marLeft w:val="0"/>
      <w:marRight w:val="0"/>
      <w:marTop w:val="0"/>
      <w:marBottom w:val="0"/>
      <w:divBdr>
        <w:top w:val="none" w:sz="0" w:space="0" w:color="auto"/>
        <w:left w:val="none" w:sz="0" w:space="0" w:color="auto"/>
        <w:bottom w:val="none" w:sz="0" w:space="0" w:color="auto"/>
        <w:right w:val="none" w:sz="0" w:space="0" w:color="auto"/>
      </w:divBdr>
      <w:divsChild>
        <w:div w:id="230778542">
          <w:marLeft w:val="562"/>
          <w:marRight w:val="0"/>
          <w:marTop w:val="120"/>
          <w:marBottom w:val="0"/>
          <w:divBdr>
            <w:top w:val="none" w:sz="0" w:space="0" w:color="auto"/>
            <w:left w:val="none" w:sz="0" w:space="0" w:color="auto"/>
            <w:bottom w:val="none" w:sz="0" w:space="0" w:color="auto"/>
            <w:right w:val="none" w:sz="0" w:space="0" w:color="auto"/>
          </w:divBdr>
        </w:div>
        <w:div w:id="829760818">
          <w:marLeft w:val="994"/>
          <w:marRight w:val="0"/>
          <w:marTop w:val="0"/>
          <w:marBottom w:val="0"/>
          <w:divBdr>
            <w:top w:val="none" w:sz="0" w:space="0" w:color="auto"/>
            <w:left w:val="none" w:sz="0" w:space="0" w:color="auto"/>
            <w:bottom w:val="none" w:sz="0" w:space="0" w:color="auto"/>
            <w:right w:val="none" w:sz="0" w:space="0" w:color="auto"/>
          </w:divBdr>
        </w:div>
        <w:div w:id="359011283">
          <w:marLeft w:val="994"/>
          <w:marRight w:val="0"/>
          <w:marTop w:val="0"/>
          <w:marBottom w:val="0"/>
          <w:divBdr>
            <w:top w:val="none" w:sz="0" w:space="0" w:color="auto"/>
            <w:left w:val="none" w:sz="0" w:space="0" w:color="auto"/>
            <w:bottom w:val="none" w:sz="0" w:space="0" w:color="auto"/>
            <w:right w:val="none" w:sz="0" w:space="0" w:color="auto"/>
          </w:divBdr>
        </w:div>
        <w:div w:id="1193541935">
          <w:marLeft w:val="994"/>
          <w:marRight w:val="0"/>
          <w:marTop w:val="0"/>
          <w:marBottom w:val="0"/>
          <w:divBdr>
            <w:top w:val="none" w:sz="0" w:space="0" w:color="auto"/>
            <w:left w:val="none" w:sz="0" w:space="0" w:color="auto"/>
            <w:bottom w:val="none" w:sz="0" w:space="0" w:color="auto"/>
            <w:right w:val="none" w:sz="0" w:space="0" w:color="auto"/>
          </w:divBdr>
        </w:div>
        <w:div w:id="1338076427">
          <w:marLeft w:val="994"/>
          <w:marRight w:val="0"/>
          <w:marTop w:val="0"/>
          <w:marBottom w:val="0"/>
          <w:divBdr>
            <w:top w:val="none" w:sz="0" w:space="0" w:color="auto"/>
            <w:left w:val="none" w:sz="0" w:space="0" w:color="auto"/>
            <w:bottom w:val="none" w:sz="0" w:space="0" w:color="auto"/>
            <w:right w:val="none" w:sz="0" w:space="0" w:color="auto"/>
          </w:divBdr>
        </w:div>
      </w:divsChild>
    </w:div>
    <w:div w:id="2039162701">
      <w:bodyDiv w:val="1"/>
      <w:marLeft w:val="0"/>
      <w:marRight w:val="0"/>
      <w:marTop w:val="0"/>
      <w:marBottom w:val="0"/>
      <w:divBdr>
        <w:top w:val="none" w:sz="0" w:space="0" w:color="auto"/>
        <w:left w:val="none" w:sz="0" w:space="0" w:color="auto"/>
        <w:bottom w:val="none" w:sz="0" w:space="0" w:color="auto"/>
        <w:right w:val="none" w:sz="0" w:space="0" w:color="auto"/>
      </w:divBdr>
      <w:divsChild>
        <w:div w:id="1856269326">
          <w:marLeft w:val="432"/>
          <w:marRight w:val="0"/>
          <w:marTop w:val="120"/>
          <w:marBottom w:val="0"/>
          <w:divBdr>
            <w:top w:val="none" w:sz="0" w:space="0" w:color="auto"/>
            <w:left w:val="none" w:sz="0" w:space="0" w:color="auto"/>
            <w:bottom w:val="none" w:sz="0" w:space="0" w:color="auto"/>
            <w:right w:val="none" w:sz="0" w:space="0" w:color="auto"/>
          </w:divBdr>
        </w:div>
      </w:divsChild>
    </w:div>
    <w:div w:id="211636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survey/runner/13MIG_Workshop_Harmonised_vs_AsI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eader" Target="header1.xml"/><Relationship Id="rId10" Type="http://schemas.openxmlformats.org/officeDocument/2006/relationships/hyperlink" Target="https://webgate.ec.europa.eu/fpfis/wikis/display/InspireMIG/Action+2.1+Need-driven+data+prioritisation" TargetMode="Externa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yperlink" Target="https://webgate.ec.europa.eu/fpfis/wikis/display/InspireMIG/Action+2.2+Roadmap+for+priority-driven+implementation" TargetMode="External"/><Relationship Id="rId14" Type="http://schemas.openxmlformats.org/officeDocument/2006/relationships/chart" Target="charts/chart3.xml"/><Relationship Id="rId22"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ebgate.ec.europa.eu/fpfis/wikis/pages/viewpage.action?pageId=71260676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bbrjo\Downloads\13MIG\WS\Harmonised\Content_Export_13MIG_Workshop_Harmonised_vs_AsIs_Harmonised_vs_AsIs05072021.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robbrjo\Downloads\13MIG\WS\Harmonised\Content_Export_13MIG_Workshop_Harmonised_vs_AsIs_Harmonised_vs_AsIs0507202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bbrjo\Downloads\13MIG\WS\Harmonised\Content_Export_13MIG_Workshop_Harmonised_vs_AsIs_Harmonised_vs_AsIs05072021.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bbrjo\Downloads\13MIG\WS\Harmonised\Content_Export_13MIG_Workshop_Harmonised_vs_AsIs_Harmonised_vs_AsIs05072021.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obbrjo\Downloads\13MIG\WS\Harmonised\Content_Export_13MIG_Workshop_Harmonised_vs_AsIs_Harmonised_vs_AsIs05072021.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obbrjo\Downloads\13MIG\WS\Harmonised\Content_Export_13MIG_Workshop_Harmonised_vs_AsIs_Harmonised_vs_AsIs05072021.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obbrjo\Downloads\13MIG\WS\Harmonised\Content_Export_13MIG_Workshop_Harmonised_vs_AsIs_Harmonised_vs_AsIs05072021.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obbrjo\Downloads\13MIG\WS\Harmonised\Content_Export_13MIG_Workshop_Harmonised_vs_AsIs_Harmonised_vs_AsIs05072021.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robbrjo\Downloads\13MIG\WS\Harmonised\Content_Export_13MIG_Workshop_Harmonised_vs_AsIs_Harmonised_vs_AsIs05072021.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robbrjo\Downloads\13MIG\WS\Harmonised\Content_Export_13MIG_Workshop_Harmonised_vs_AsIs_Harmonised_vs_AsIs0507202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[Content_Export_13MIG_Workshop_Harmonised_vs_AsIs_Harmonised_vs_AsIs05072021.xls]Sheet3!PivotTable61</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Does the presence of both as-is and harmonized data negatively impact the INSPIRE indicator for data conformance (DSi2.x family of indicators) in your country?</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Sheet3!$B$3:$B$4</c:f>
              <c:strCache>
                <c:ptCount val="1"/>
                <c:pt idx="0">
                  <c:v>Total</c:v>
                </c:pt>
              </c:strCache>
            </c:strRef>
          </c:tx>
          <c:spPr>
            <a:solidFill>
              <a:schemeClr val="accent1"/>
            </a:solidFill>
            <a:ln>
              <a:noFill/>
            </a:ln>
            <a:effectLst/>
          </c:spPr>
          <c:invertIfNegative val="0"/>
          <c:cat>
            <c:strRef>
              <c:f>Sheet3!$A$5:$A$6</c:f>
              <c:strCache>
                <c:ptCount val="2"/>
                <c:pt idx="0">
                  <c:v>No</c:v>
                </c:pt>
                <c:pt idx="1">
                  <c:v>Yes</c:v>
                </c:pt>
              </c:strCache>
            </c:strRef>
          </c:cat>
          <c:val>
            <c:numRef>
              <c:f>Sheet3!$B$5:$B$6</c:f>
              <c:numCache>
                <c:formatCode>General</c:formatCode>
                <c:ptCount val="2"/>
                <c:pt idx="0">
                  <c:v>6</c:v>
                </c:pt>
                <c:pt idx="1">
                  <c:v>15</c:v>
                </c:pt>
              </c:numCache>
            </c:numRef>
          </c:val>
          <c:extLst>
            <c:ext xmlns:c16="http://schemas.microsoft.com/office/drawing/2014/chart" uri="{C3380CC4-5D6E-409C-BE32-E72D297353CC}">
              <c16:uniqueId val="{00000000-756B-4104-A56B-060D312A4D03}"/>
            </c:ext>
          </c:extLst>
        </c:ser>
        <c:dLbls>
          <c:showLegendKey val="0"/>
          <c:showVal val="0"/>
          <c:showCatName val="0"/>
          <c:showSerName val="0"/>
          <c:showPercent val="0"/>
          <c:showBubbleSize val="0"/>
        </c:dLbls>
        <c:gapWidth val="219"/>
        <c:overlap val="-27"/>
        <c:axId val="566147552"/>
        <c:axId val="1"/>
      </c:barChart>
      <c:catAx>
        <c:axId val="56614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47552"/>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[Content_Export_13MIG_Workshop_Harmonised_vs_AsIs_Harmonised_vs_AsIs05072021.xls]Sheet12!PivotTable88</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Are there any other monitoring conformity indicators that clearly have a repercussion on the data sets made available and accessible in the INSPIRE infrastructure?</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Sheet12!$B$3:$B$4</c:f>
              <c:strCache>
                <c:ptCount val="1"/>
                <c:pt idx="0">
                  <c:v>Total</c:v>
                </c:pt>
              </c:strCache>
            </c:strRef>
          </c:tx>
          <c:spPr>
            <a:solidFill>
              <a:schemeClr val="accent1"/>
            </a:solidFill>
            <a:ln>
              <a:noFill/>
            </a:ln>
            <a:effectLst/>
          </c:spPr>
          <c:invertIfNegative val="0"/>
          <c:cat>
            <c:strRef>
              <c:f>Sheet12!$A$5:$A$6</c:f>
              <c:strCache>
                <c:ptCount val="2"/>
                <c:pt idx="0">
                  <c:v>No</c:v>
                </c:pt>
                <c:pt idx="1">
                  <c:v>Yes</c:v>
                </c:pt>
              </c:strCache>
            </c:strRef>
          </c:cat>
          <c:val>
            <c:numRef>
              <c:f>Sheet12!$B$5:$B$6</c:f>
              <c:numCache>
                <c:formatCode>General</c:formatCode>
                <c:ptCount val="2"/>
                <c:pt idx="0">
                  <c:v>17</c:v>
                </c:pt>
                <c:pt idx="1">
                  <c:v>4</c:v>
                </c:pt>
              </c:numCache>
            </c:numRef>
          </c:val>
          <c:extLst>
            <c:ext xmlns:c16="http://schemas.microsoft.com/office/drawing/2014/chart" uri="{C3380CC4-5D6E-409C-BE32-E72D297353CC}">
              <c16:uniqueId val="{00000000-D4D7-4A0A-AD45-CFF5AF8025C4}"/>
            </c:ext>
          </c:extLst>
        </c:ser>
        <c:dLbls>
          <c:showLegendKey val="0"/>
          <c:showVal val="0"/>
          <c:showCatName val="0"/>
          <c:showSerName val="0"/>
          <c:showPercent val="0"/>
          <c:showBubbleSize val="0"/>
        </c:dLbls>
        <c:gapWidth val="219"/>
        <c:overlap val="-27"/>
        <c:axId val="566144272"/>
        <c:axId val="1"/>
      </c:barChart>
      <c:catAx>
        <c:axId val="566144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44272"/>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[Content_Export_13MIG_Workshop_Harmonised_vs_AsIs_Harmonised_vs_AsIs05072021.xls]Sheet4!PivotTable64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Are you planning on limiting your INSPIRE offering or have you already limited your offering to prioritised data sets only?</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Sheet4!$B$3:$B$4</c:f>
              <c:strCache>
                <c:ptCount val="1"/>
                <c:pt idx="0">
                  <c:v>Total</c:v>
                </c:pt>
              </c:strCache>
            </c:strRef>
          </c:tx>
          <c:spPr>
            <a:solidFill>
              <a:schemeClr val="accent1"/>
            </a:solidFill>
            <a:ln>
              <a:noFill/>
            </a:ln>
            <a:effectLst/>
          </c:spPr>
          <c:invertIfNegative val="0"/>
          <c:cat>
            <c:strRef>
              <c:f>Sheet4!$A$5:$A$6</c:f>
              <c:strCache>
                <c:ptCount val="2"/>
                <c:pt idx="0">
                  <c:v>No</c:v>
                </c:pt>
                <c:pt idx="1">
                  <c:v>Yes</c:v>
                </c:pt>
              </c:strCache>
            </c:strRef>
          </c:cat>
          <c:val>
            <c:numRef>
              <c:f>Sheet4!$B$5:$B$6</c:f>
              <c:numCache>
                <c:formatCode>General</c:formatCode>
                <c:ptCount val="2"/>
                <c:pt idx="0">
                  <c:v>15</c:v>
                </c:pt>
                <c:pt idx="1">
                  <c:v>6</c:v>
                </c:pt>
              </c:numCache>
            </c:numRef>
          </c:val>
          <c:extLst>
            <c:ext xmlns:c16="http://schemas.microsoft.com/office/drawing/2014/chart" uri="{C3380CC4-5D6E-409C-BE32-E72D297353CC}">
              <c16:uniqueId val="{00000000-BE6F-40E1-8B5F-DD08954FF0D7}"/>
            </c:ext>
          </c:extLst>
        </c:ser>
        <c:dLbls>
          <c:showLegendKey val="0"/>
          <c:showVal val="0"/>
          <c:showCatName val="0"/>
          <c:showSerName val="0"/>
          <c:showPercent val="0"/>
          <c:showBubbleSize val="0"/>
        </c:dLbls>
        <c:gapWidth val="219"/>
        <c:overlap val="-27"/>
        <c:axId val="566153784"/>
        <c:axId val="1"/>
      </c:barChart>
      <c:catAx>
        <c:axId val="566153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5378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[Content_Export_13MIG_Workshop_Harmonised_vs_AsIs_Harmonised_vs_AsIs05072021.xls]Sheet5!PivotTable67</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Are you planning on limiting your INSPIRE offering to harmonized data sets only?</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Sheet5!$B$3:$B$4</c:f>
              <c:strCache>
                <c:ptCount val="1"/>
                <c:pt idx="0">
                  <c:v>Total</c:v>
                </c:pt>
              </c:strCache>
            </c:strRef>
          </c:tx>
          <c:spPr>
            <a:solidFill>
              <a:schemeClr val="accent1"/>
            </a:solidFill>
            <a:ln>
              <a:noFill/>
            </a:ln>
            <a:effectLst/>
          </c:spPr>
          <c:invertIfNegative val="0"/>
          <c:cat>
            <c:strRef>
              <c:f>Sheet5!$A$5:$A$6</c:f>
              <c:strCache>
                <c:ptCount val="2"/>
                <c:pt idx="0">
                  <c:v>No</c:v>
                </c:pt>
                <c:pt idx="1">
                  <c:v>Yes</c:v>
                </c:pt>
              </c:strCache>
            </c:strRef>
          </c:cat>
          <c:val>
            <c:numRef>
              <c:f>Sheet5!$B$5:$B$6</c:f>
              <c:numCache>
                <c:formatCode>General</c:formatCode>
                <c:ptCount val="2"/>
                <c:pt idx="0">
                  <c:v>16</c:v>
                </c:pt>
                <c:pt idx="1">
                  <c:v>5</c:v>
                </c:pt>
              </c:numCache>
            </c:numRef>
          </c:val>
          <c:extLst>
            <c:ext xmlns:c16="http://schemas.microsoft.com/office/drawing/2014/chart" uri="{C3380CC4-5D6E-409C-BE32-E72D297353CC}">
              <c16:uniqueId val="{00000000-9E01-4E6B-B481-5B7FB92DF011}"/>
            </c:ext>
          </c:extLst>
        </c:ser>
        <c:dLbls>
          <c:showLegendKey val="0"/>
          <c:showVal val="0"/>
          <c:showCatName val="0"/>
          <c:showSerName val="0"/>
          <c:showPercent val="0"/>
          <c:showBubbleSize val="0"/>
        </c:dLbls>
        <c:gapWidth val="219"/>
        <c:overlap val="-27"/>
        <c:axId val="566154112"/>
        <c:axId val="1"/>
      </c:barChart>
      <c:catAx>
        <c:axId val="56615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54112"/>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[Content_Export_13MIG_Workshop_Harmonised_vs_AsIs_Harmonised_vs_AsIs05072021.xls]Sheet6!PivotTable70</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Is a low value for the DSi2.x indicators (conformity of spatial data sets) an important driver for limiting your offering?</a:t>
            </a:r>
          </a:p>
        </c:rich>
      </c:tx>
      <c:layout>
        <c:manualLayout>
          <c:xMode val="edge"/>
          <c:yMode val="edge"/>
          <c:x val="0.10039024801044255"/>
          <c:y val="1.82370820668693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Sheet6!$B$3:$B$4</c:f>
              <c:strCache>
                <c:ptCount val="1"/>
                <c:pt idx="0">
                  <c:v>Total</c:v>
                </c:pt>
              </c:strCache>
            </c:strRef>
          </c:tx>
          <c:spPr>
            <a:solidFill>
              <a:schemeClr val="accent1"/>
            </a:solidFill>
            <a:ln>
              <a:noFill/>
            </a:ln>
            <a:effectLst/>
          </c:spPr>
          <c:invertIfNegative val="0"/>
          <c:cat>
            <c:strRef>
              <c:f>Sheet6!$A$5:$A$6</c:f>
              <c:strCache>
                <c:ptCount val="2"/>
                <c:pt idx="0">
                  <c:v>No</c:v>
                </c:pt>
                <c:pt idx="1">
                  <c:v>Yes</c:v>
                </c:pt>
              </c:strCache>
            </c:strRef>
          </c:cat>
          <c:val>
            <c:numRef>
              <c:f>Sheet6!$B$5:$B$6</c:f>
              <c:numCache>
                <c:formatCode>General</c:formatCode>
                <c:ptCount val="2"/>
                <c:pt idx="0">
                  <c:v>11</c:v>
                </c:pt>
                <c:pt idx="1">
                  <c:v>10</c:v>
                </c:pt>
              </c:numCache>
            </c:numRef>
          </c:val>
          <c:extLst>
            <c:ext xmlns:c16="http://schemas.microsoft.com/office/drawing/2014/chart" uri="{C3380CC4-5D6E-409C-BE32-E72D297353CC}">
              <c16:uniqueId val="{00000000-B5CC-4A19-93C0-7673CEAA59C0}"/>
            </c:ext>
          </c:extLst>
        </c:ser>
        <c:dLbls>
          <c:showLegendKey val="0"/>
          <c:showVal val="0"/>
          <c:showCatName val="0"/>
          <c:showSerName val="0"/>
          <c:showPercent val="0"/>
          <c:showBubbleSize val="0"/>
        </c:dLbls>
        <c:gapWidth val="219"/>
        <c:overlap val="-27"/>
        <c:axId val="566152472"/>
        <c:axId val="1"/>
      </c:barChart>
      <c:catAx>
        <c:axId val="566152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52472"/>
        <c:crosses val="autoZero"/>
        <c:crossBetween val="between"/>
        <c:majorUnit val="1"/>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[Content_Export_13MIG_Workshop_Harmonised_vs_AsIs_Harmonised_vs_AsIs05072021.xls]Sheet7!PivotTable73</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Would you make more as-is data available if this data would not be included in a data conformity assessment?</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Sheet7!$B$3:$B$4</c:f>
              <c:strCache>
                <c:ptCount val="1"/>
                <c:pt idx="0">
                  <c:v>Total</c:v>
                </c:pt>
              </c:strCache>
            </c:strRef>
          </c:tx>
          <c:spPr>
            <a:solidFill>
              <a:schemeClr val="accent1"/>
            </a:solidFill>
            <a:ln>
              <a:noFill/>
            </a:ln>
            <a:effectLst/>
          </c:spPr>
          <c:invertIfNegative val="0"/>
          <c:cat>
            <c:strRef>
              <c:f>Sheet7!$A$5:$A$6</c:f>
              <c:strCache>
                <c:ptCount val="2"/>
                <c:pt idx="0">
                  <c:v>No</c:v>
                </c:pt>
                <c:pt idx="1">
                  <c:v>Yes</c:v>
                </c:pt>
              </c:strCache>
            </c:strRef>
          </c:cat>
          <c:val>
            <c:numRef>
              <c:f>Sheet7!$B$5:$B$6</c:f>
              <c:numCache>
                <c:formatCode>General</c:formatCode>
                <c:ptCount val="2"/>
                <c:pt idx="0">
                  <c:v>11</c:v>
                </c:pt>
                <c:pt idx="1">
                  <c:v>10</c:v>
                </c:pt>
              </c:numCache>
            </c:numRef>
          </c:val>
          <c:extLst>
            <c:ext xmlns:c16="http://schemas.microsoft.com/office/drawing/2014/chart" uri="{C3380CC4-5D6E-409C-BE32-E72D297353CC}">
              <c16:uniqueId val="{00000000-B09E-46E9-AD5E-A7C7E6BADA6D}"/>
            </c:ext>
          </c:extLst>
        </c:ser>
        <c:dLbls>
          <c:showLegendKey val="0"/>
          <c:showVal val="0"/>
          <c:showCatName val="0"/>
          <c:showSerName val="0"/>
          <c:showPercent val="0"/>
          <c:showBubbleSize val="0"/>
        </c:dLbls>
        <c:gapWidth val="219"/>
        <c:overlap val="-27"/>
        <c:axId val="566153456"/>
        <c:axId val="1"/>
      </c:barChart>
      <c:catAx>
        <c:axId val="56615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53456"/>
        <c:crosses val="autoZero"/>
        <c:crossBetween val="between"/>
        <c:majorUnit val="1"/>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[Content_Export_13MIG_Workshop_Harmonised_vs_AsIs_Harmonised_vs_AsIs05072021.xls]Sheet8!PivotTable76</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Would you support limiting data harmonisation efforts to clearly identified and prioritised as-is data sets (to be further developed under MIWP Actions 2.1 and 2.2)?</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Sheet8!$B$3:$B$4</c:f>
              <c:strCache>
                <c:ptCount val="1"/>
                <c:pt idx="0">
                  <c:v>Total</c:v>
                </c:pt>
              </c:strCache>
            </c:strRef>
          </c:tx>
          <c:spPr>
            <a:solidFill>
              <a:schemeClr val="accent1"/>
            </a:solidFill>
            <a:ln>
              <a:noFill/>
            </a:ln>
            <a:effectLst/>
          </c:spPr>
          <c:invertIfNegative val="0"/>
          <c:cat>
            <c:strRef>
              <c:f>Sheet8!$A$5:$A$6</c:f>
              <c:strCache>
                <c:ptCount val="2"/>
                <c:pt idx="0">
                  <c:v>No</c:v>
                </c:pt>
                <c:pt idx="1">
                  <c:v>Yes</c:v>
                </c:pt>
              </c:strCache>
            </c:strRef>
          </c:cat>
          <c:val>
            <c:numRef>
              <c:f>Sheet8!$B$5:$B$6</c:f>
              <c:numCache>
                <c:formatCode>General</c:formatCode>
                <c:ptCount val="2"/>
                <c:pt idx="0">
                  <c:v>4</c:v>
                </c:pt>
                <c:pt idx="1">
                  <c:v>17</c:v>
                </c:pt>
              </c:numCache>
            </c:numRef>
          </c:val>
          <c:extLst>
            <c:ext xmlns:c16="http://schemas.microsoft.com/office/drawing/2014/chart" uri="{C3380CC4-5D6E-409C-BE32-E72D297353CC}">
              <c16:uniqueId val="{00000000-CA87-465D-B80D-200869249F0A}"/>
            </c:ext>
          </c:extLst>
        </c:ser>
        <c:dLbls>
          <c:showLegendKey val="0"/>
          <c:showVal val="0"/>
          <c:showCatName val="0"/>
          <c:showSerName val="0"/>
          <c:showPercent val="0"/>
          <c:showBubbleSize val="0"/>
        </c:dLbls>
        <c:gapWidth val="219"/>
        <c:overlap val="-27"/>
        <c:axId val="566156080"/>
        <c:axId val="1"/>
      </c:barChart>
      <c:catAx>
        <c:axId val="56615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56080"/>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[Content_Export_13MIG_Workshop_Harmonised_vs_AsIs_Harmonised_vs_AsIs05072021.xls]Sheet9!PivotTable79</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Would you support using the priority data set metadata keyword to select data sets for future calculation of DSi2.x indicators?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Sheet9!$B$3:$B$4</c:f>
              <c:strCache>
                <c:ptCount val="1"/>
                <c:pt idx="0">
                  <c:v>Total</c:v>
                </c:pt>
              </c:strCache>
            </c:strRef>
          </c:tx>
          <c:spPr>
            <a:solidFill>
              <a:schemeClr val="accent1"/>
            </a:solidFill>
            <a:ln>
              <a:noFill/>
            </a:ln>
            <a:effectLst/>
          </c:spPr>
          <c:invertIfNegative val="0"/>
          <c:cat>
            <c:strRef>
              <c:f>Sheet9!$A$5:$A$6</c:f>
              <c:strCache>
                <c:ptCount val="2"/>
                <c:pt idx="0">
                  <c:v>No</c:v>
                </c:pt>
                <c:pt idx="1">
                  <c:v>Yes</c:v>
                </c:pt>
              </c:strCache>
            </c:strRef>
          </c:cat>
          <c:val>
            <c:numRef>
              <c:f>Sheet9!$B$5:$B$6</c:f>
              <c:numCache>
                <c:formatCode>General</c:formatCode>
                <c:ptCount val="2"/>
                <c:pt idx="0">
                  <c:v>7</c:v>
                </c:pt>
                <c:pt idx="1">
                  <c:v>14</c:v>
                </c:pt>
              </c:numCache>
            </c:numRef>
          </c:val>
          <c:extLst>
            <c:ext xmlns:c16="http://schemas.microsoft.com/office/drawing/2014/chart" uri="{C3380CC4-5D6E-409C-BE32-E72D297353CC}">
              <c16:uniqueId val="{00000000-6671-4074-9A79-C5CC4A69A476}"/>
            </c:ext>
          </c:extLst>
        </c:ser>
        <c:dLbls>
          <c:showLegendKey val="0"/>
          <c:showVal val="0"/>
          <c:showCatName val="0"/>
          <c:showSerName val="0"/>
          <c:showPercent val="0"/>
          <c:showBubbleSize val="0"/>
        </c:dLbls>
        <c:gapWidth val="219"/>
        <c:overlap val="-27"/>
        <c:axId val="566157064"/>
        <c:axId val="1"/>
      </c:barChart>
      <c:catAx>
        <c:axId val="56615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5706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[Content_Export_13MIG_Workshop_Harmonised_vs_AsIs_Harmonised_vs_AsIs05072021.xls]Sheet10!PivotTable82</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Would you support describing as-is and harmonized versions of a spatial data set through a single metadata record?</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Sheet10!$B$3:$B$4</c:f>
              <c:strCache>
                <c:ptCount val="1"/>
                <c:pt idx="0">
                  <c:v>Total</c:v>
                </c:pt>
              </c:strCache>
            </c:strRef>
          </c:tx>
          <c:spPr>
            <a:solidFill>
              <a:schemeClr val="accent1"/>
            </a:solidFill>
            <a:ln>
              <a:noFill/>
            </a:ln>
            <a:effectLst/>
          </c:spPr>
          <c:invertIfNegative val="0"/>
          <c:cat>
            <c:strRef>
              <c:f>Sheet10!$A$5:$A$6</c:f>
              <c:strCache>
                <c:ptCount val="2"/>
                <c:pt idx="0">
                  <c:v>No</c:v>
                </c:pt>
                <c:pt idx="1">
                  <c:v>Yes</c:v>
                </c:pt>
              </c:strCache>
            </c:strRef>
          </c:cat>
          <c:val>
            <c:numRef>
              <c:f>Sheet10!$B$5:$B$6</c:f>
              <c:numCache>
                <c:formatCode>General</c:formatCode>
                <c:ptCount val="2"/>
                <c:pt idx="0">
                  <c:v>12</c:v>
                </c:pt>
                <c:pt idx="1">
                  <c:v>9</c:v>
                </c:pt>
              </c:numCache>
            </c:numRef>
          </c:val>
          <c:extLst>
            <c:ext xmlns:c16="http://schemas.microsoft.com/office/drawing/2014/chart" uri="{C3380CC4-5D6E-409C-BE32-E72D297353CC}">
              <c16:uniqueId val="{00000000-06F7-42C4-80CC-0F88F7A7947D}"/>
            </c:ext>
          </c:extLst>
        </c:ser>
        <c:dLbls>
          <c:showLegendKey val="0"/>
          <c:showVal val="0"/>
          <c:showCatName val="0"/>
          <c:showSerName val="0"/>
          <c:showPercent val="0"/>
          <c:showBubbleSize val="0"/>
        </c:dLbls>
        <c:gapWidth val="219"/>
        <c:overlap val="-27"/>
        <c:axId val="566138696"/>
        <c:axId val="1"/>
      </c:barChart>
      <c:catAx>
        <c:axId val="566138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3869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[Content_Export_13MIG_Workshop_Harmonised_vs_AsIs_Harmonised_vs_AsIs05072021.xls]Sheet11!PivotTable85</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INSPIRE metadata already allows to declare conformity to different specifications. Would you support the possibility of optionally declaring conformity to all applicable specifications in metadata e.g. conformity with: national specifications / INSPIRE th</a:t>
            </a:r>
          </a:p>
        </c:rich>
      </c:tx>
      <c:layout>
        <c:manualLayout>
          <c:xMode val="edge"/>
          <c:yMode val="edge"/>
          <c:x val="0.1070881203611504"/>
          <c:y val="2.0161290322580645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Sheet11!$B$3:$B$4</c:f>
              <c:strCache>
                <c:ptCount val="1"/>
                <c:pt idx="0">
                  <c:v>Total</c:v>
                </c:pt>
              </c:strCache>
            </c:strRef>
          </c:tx>
          <c:spPr>
            <a:solidFill>
              <a:schemeClr val="accent1"/>
            </a:solidFill>
            <a:ln>
              <a:noFill/>
            </a:ln>
            <a:effectLst/>
          </c:spPr>
          <c:invertIfNegative val="0"/>
          <c:cat>
            <c:strRef>
              <c:f>Sheet11!$A$5:$A$6</c:f>
              <c:strCache>
                <c:ptCount val="2"/>
                <c:pt idx="0">
                  <c:v>No</c:v>
                </c:pt>
                <c:pt idx="1">
                  <c:v>Yes</c:v>
                </c:pt>
              </c:strCache>
            </c:strRef>
          </c:cat>
          <c:val>
            <c:numRef>
              <c:f>Sheet11!$B$5:$B$6</c:f>
              <c:numCache>
                <c:formatCode>General</c:formatCode>
                <c:ptCount val="2"/>
                <c:pt idx="0">
                  <c:v>4</c:v>
                </c:pt>
                <c:pt idx="1">
                  <c:v>17</c:v>
                </c:pt>
              </c:numCache>
            </c:numRef>
          </c:val>
          <c:extLst>
            <c:ext xmlns:c16="http://schemas.microsoft.com/office/drawing/2014/chart" uri="{C3380CC4-5D6E-409C-BE32-E72D297353CC}">
              <c16:uniqueId val="{00000000-D383-492C-A949-F50D239DAAEE}"/>
            </c:ext>
          </c:extLst>
        </c:ser>
        <c:dLbls>
          <c:showLegendKey val="0"/>
          <c:showVal val="0"/>
          <c:showCatName val="0"/>
          <c:showSerName val="0"/>
          <c:showPercent val="0"/>
          <c:showBubbleSize val="0"/>
        </c:dLbls>
        <c:gapWidth val="219"/>
        <c:overlap val="-27"/>
        <c:axId val="566140336"/>
        <c:axId val="1"/>
      </c:barChart>
      <c:catAx>
        <c:axId val="56614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0"/>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4033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9110084-67C8-4BB0-A3FC-264E55A80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2523</Words>
  <Characters>14255</Characters>
  <Application>Microsoft Office Word</Application>
  <DocSecurity>0</DocSecurity>
  <Lines>303</Lines>
  <Paragraphs>148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Commission</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 ENV E4</dc:creator>
  <cp:lastModifiedBy>ROBBRECHT Joeri (ENV)</cp:lastModifiedBy>
  <cp:revision>4</cp:revision>
  <cp:lastPrinted>2017-05-29T12:29:00Z</cp:lastPrinted>
  <dcterms:created xsi:type="dcterms:W3CDTF">2021-07-26T14:03:00Z</dcterms:created>
  <dcterms:modified xsi:type="dcterms:W3CDTF">2021-07-26T14:10:00Z</dcterms:modified>
</cp:coreProperties>
</file>