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1DB33" w14:textId="0878D923" w:rsidR="003E0859" w:rsidRPr="00FE5BD0" w:rsidRDefault="003E0859" w:rsidP="00877D6A">
      <w:pPr>
        <w:spacing w:line="360" w:lineRule="auto"/>
        <w:ind w:right="-90"/>
        <w:jc w:val="both"/>
        <w:rPr>
          <w:rFonts w:ascii="Times New Roman" w:hAnsi="Times New Roman"/>
          <w:szCs w:val="24"/>
        </w:rPr>
      </w:pPr>
      <w:r w:rsidRPr="00CB2EF6">
        <w:rPr>
          <w:noProof/>
          <w:lang w:eastAsia="en-US"/>
        </w:rPr>
        <w:drawing>
          <wp:anchor distT="0" distB="0" distL="114300" distR="114300" simplePos="0" relativeHeight="251659264" behindDoc="0" locked="0" layoutInCell="1" allowOverlap="1" wp14:anchorId="4124037C" wp14:editId="1DA68417">
            <wp:simplePos x="0" y="0"/>
            <wp:positionH relativeFrom="column">
              <wp:posOffset>4229100</wp:posOffset>
            </wp:positionH>
            <wp:positionV relativeFrom="paragraph">
              <wp:posOffset>-228600</wp:posOffset>
            </wp:positionV>
            <wp:extent cx="1370965" cy="1069975"/>
            <wp:effectExtent l="0" t="0" r="635" b="0"/>
            <wp:wrapThrough wrapText="bothSides">
              <wp:wrapPolygon edited="0">
                <wp:start x="10005" y="0"/>
                <wp:lineTo x="0" y="4102"/>
                <wp:lineTo x="0" y="11793"/>
                <wp:lineTo x="5202" y="16408"/>
                <wp:lineTo x="5202" y="16921"/>
                <wp:lineTo x="9204" y="21023"/>
                <wp:lineTo x="9604" y="21023"/>
                <wp:lineTo x="16408" y="21023"/>
                <wp:lineTo x="16808" y="21023"/>
                <wp:lineTo x="20810" y="16921"/>
                <wp:lineTo x="21210" y="14357"/>
                <wp:lineTo x="21210" y="3077"/>
                <wp:lineTo x="16007" y="0"/>
                <wp:lineTo x="1000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0965" cy="106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3A4E">
        <w:rPr>
          <w:noProof/>
          <w:lang w:eastAsia="en-US"/>
        </w:rPr>
        <w:t>MEASUREMENT INFORMATION</w:t>
      </w:r>
      <w:r w:rsidR="004E3A4E">
        <w:rPr>
          <w:rFonts w:ascii="Times New Roman" w:hAnsi="Times New Roman"/>
          <w:szCs w:val="24"/>
        </w:rPr>
        <w:t xml:space="preserve"> </w:t>
      </w:r>
      <w:r w:rsidRPr="00FE5BD0">
        <w:rPr>
          <w:rFonts w:ascii="Times New Roman" w:hAnsi="Times New Roman"/>
          <w:szCs w:val="24"/>
        </w:rPr>
        <w:tab/>
        <w:t xml:space="preserve"> </w:t>
      </w:r>
      <w:r w:rsidRPr="00FE5BD0">
        <w:rPr>
          <w:rFonts w:ascii="Times New Roman" w:hAnsi="Times New Roman"/>
          <w:szCs w:val="24"/>
        </w:rPr>
        <w:tab/>
      </w:r>
    </w:p>
    <w:p w14:paraId="1DA8AF5D" w14:textId="099D0E01" w:rsidR="003E0859" w:rsidRDefault="003E0859" w:rsidP="00877D6A">
      <w:pPr>
        <w:spacing w:line="360" w:lineRule="auto"/>
        <w:ind w:right="-90"/>
        <w:jc w:val="both"/>
        <w:rPr>
          <w:rFonts w:ascii="Times New Roman" w:hAnsi="Times New Roman"/>
          <w:szCs w:val="24"/>
        </w:rPr>
      </w:pPr>
      <w:r w:rsidRPr="00FE5BD0">
        <w:rPr>
          <w:rFonts w:ascii="Times New Roman" w:hAnsi="Times New Roman"/>
          <w:szCs w:val="24"/>
        </w:rPr>
        <w:t>Cylinder:</w:t>
      </w:r>
      <w:r w:rsidR="0010627A">
        <w:rPr>
          <w:rFonts w:ascii="Times New Roman" w:hAnsi="Times New Roman"/>
          <w:szCs w:val="24"/>
        </w:rPr>
        <w:tab/>
      </w:r>
    </w:p>
    <w:p w14:paraId="310B0725" w14:textId="229A0420" w:rsidR="003E0859" w:rsidRDefault="003E0859" w:rsidP="00877D6A">
      <w:pPr>
        <w:spacing w:line="360" w:lineRule="auto"/>
        <w:ind w:right="-90"/>
        <w:jc w:val="both"/>
        <w:rPr>
          <w:rFonts w:ascii="Times New Roman" w:hAnsi="Times New Roman"/>
          <w:szCs w:val="24"/>
        </w:rPr>
      </w:pPr>
      <w:r>
        <w:rPr>
          <w:rFonts w:ascii="Times New Roman" w:hAnsi="Times New Roman"/>
          <w:szCs w:val="24"/>
        </w:rPr>
        <w:t xml:space="preserve">Date: </w:t>
      </w:r>
    </w:p>
    <w:p w14:paraId="210CE55C" w14:textId="77777777" w:rsidR="000C7F0E" w:rsidRPr="00FE5BD0" w:rsidRDefault="000C7F0E" w:rsidP="00877D6A">
      <w:pPr>
        <w:spacing w:line="360" w:lineRule="auto"/>
        <w:ind w:right="-90"/>
        <w:jc w:val="both"/>
        <w:rPr>
          <w:rFonts w:ascii="Times New Roman" w:hAnsi="Times New Roman"/>
          <w:szCs w:val="24"/>
        </w:rPr>
      </w:pPr>
    </w:p>
    <w:p w14:paraId="0F1DF59B" w14:textId="22EF9C55" w:rsidR="003E0859" w:rsidRPr="00FE5BD0" w:rsidRDefault="003E0859" w:rsidP="00877D6A">
      <w:pPr>
        <w:pStyle w:val="BodyText"/>
        <w:rPr>
          <w:rFonts w:ascii="Times New Roman" w:hAnsi="Times New Roman"/>
          <w:szCs w:val="24"/>
        </w:rPr>
      </w:pPr>
      <w:r w:rsidRPr="00FE5BD0">
        <w:rPr>
          <w:rFonts w:ascii="Times New Roman" w:hAnsi="Times New Roman"/>
          <w:szCs w:val="24"/>
        </w:rPr>
        <w:t xml:space="preserve">The Stable Isotope Lab (SIL) at INSTAAR, University of Colorado, has </w:t>
      </w:r>
      <w:r>
        <w:rPr>
          <w:rFonts w:ascii="Times New Roman" w:hAnsi="Times New Roman"/>
          <w:szCs w:val="24"/>
        </w:rPr>
        <w:t xml:space="preserve">measured this cylinder for </w:t>
      </w:r>
      <w:r w:rsidRPr="003F5BB3">
        <w:rPr>
          <w:rFonts w:ascii="Symbol" w:hAnsi="Symbol"/>
          <w:szCs w:val="24"/>
        </w:rPr>
        <w:t></w:t>
      </w:r>
      <w:r w:rsidRPr="003F5BB3">
        <w:rPr>
          <w:rFonts w:ascii="Times New Roman" w:hAnsi="Times New Roman"/>
          <w:szCs w:val="24"/>
          <w:vertAlign w:val="superscript"/>
        </w:rPr>
        <w:t>13</w:t>
      </w:r>
      <w:r>
        <w:rPr>
          <w:rFonts w:ascii="Times New Roman" w:hAnsi="Times New Roman"/>
          <w:szCs w:val="24"/>
        </w:rPr>
        <w:t>C of CH</w:t>
      </w:r>
      <w:r w:rsidRPr="005D7843">
        <w:rPr>
          <w:rFonts w:ascii="Times New Roman" w:hAnsi="Times New Roman"/>
          <w:szCs w:val="24"/>
          <w:vertAlign w:val="subscript"/>
        </w:rPr>
        <w:t>4</w:t>
      </w:r>
      <w:r>
        <w:rPr>
          <w:rFonts w:ascii="Times New Roman" w:hAnsi="Times New Roman"/>
          <w:szCs w:val="24"/>
        </w:rPr>
        <w:t xml:space="preserve"> i</w:t>
      </w:r>
      <w:r w:rsidRPr="00FE5BD0">
        <w:rPr>
          <w:rFonts w:ascii="Times New Roman" w:hAnsi="Times New Roman"/>
          <w:szCs w:val="24"/>
        </w:rPr>
        <w:t>n cooperation with the Global Monitoring Division of the National Oceanic and Atmospheric Administration.</w:t>
      </w:r>
      <w:r>
        <w:rPr>
          <w:rFonts w:ascii="Times New Roman" w:hAnsi="Times New Roman"/>
          <w:szCs w:val="24"/>
        </w:rPr>
        <w:t xml:space="preserve"> </w:t>
      </w:r>
      <w:r w:rsidR="00877D6A" w:rsidRPr="00877D6A">
        <w:rPr>
          <w:rFonts w:ascii="Times New Roman" w:hAnsi="Times New Roman"/>
          <w:b/>
          <w:szCs w:val="24"/>
        </w:rPr>
        <w:t>This measurement is offered as an unofficial calibration</w:t>
      </w:r>
      <w:r w:rsidR="00877D6A">
        <w:rPr>
          <w:rFonts w:ascii="Times New Roman" w:hAnsi="Times New Roman"/>
          <w:b/>
          <w:szCs w:val="24"/>
        </w:rPr>
        <w:t xml:space="preserve">, </w:t>
      </w:r>
      <w:r w:rsidR="00877D6A">
        <w:rPr>
          <w:rFonts w:ascii="Times New Roman" w:hAnsi="Times New Roman"/>
          <w:szCs w:val="24"/>
        </w:rPr>
        <w:t xml:space="preserve">for reasons that </w:t>
      </w:r>
      <w:r w:rsidR="00D339E4">
        <w:rPr>
          <w:rFonts w:ascii="Times New Roman" w:hAnsi="Times New Roman"/>
          <w:szCs w:val="24"/>
        </w:rPr>
        <w:t>are</w:t>
      </w:r>
      <w:r w:rsidR="00877D6A">
        <w:rPr>
          <w:rFonts w:ascii="Times New Roman" w:hAnsi="Times New Roman"/>
          <w:szCs w:val="24"/>
        </w:rPr>
        <w:t xml:space="preserve"> discussed below</w:t>
      </w:r>
      <w:r w:rsidRPr="00877D6A">
        <w:rPr>
          <w:rFonts w:ascii="Times New Roman" w:hAnsi="Times New Roman"/>
          <w:b/>
          <w:szCs w:val="24"/>
        </w:rPr>
        <w:t>.</w:t>
      </w:r>
      <w:r w:rsidRPr="00AD0974">
        <w:rPr>
          <w:rFonts w:ascii="Times New Roman" w:hAnsi="Times New Roman"/>
          <w:szCs w:val="24"/>
        </w:rPr>
        <w:t xml:space="preserve"> Th</w:t>
      </w:r>
      <w:r w:rsidR="009750B2">
        <w:rPr>
          <w:rFonts w:ascii="Times New Roman" w:hAnsi="Times New Roman"/>
          <w:szCs w:val="24"/>
        </w:rPr>
        <w:t xml:space="preserve">is </w:t>
      </w:r>
      <w:r w:rsidRPr="00FE5BD0">
        <w:rPr>
          <w:rFonts w:ascii="Times New Roman" w:hAnsi="Times New Roman"/>
          <w:szCs w:val="24"/>
        </w:rPr>
        <w:t xml:space="preserve">document includes specific information regarding methods used to </w:t>
      </w:r>
      <w:r>
        <w:rPr>
          <w:rFonts w:ascii="Times New Roman" w:hAnsi="Times New Roman"/>
          <w:szCs w:val="24"/>
        </w:rPr>
        <w:t>make these measurements</w:t>
      </w:r>
      <w:r w:rsidRPr="00FE5BD0">
        <w:rPr>
          <w:rFonts w:ascii="Times New Roman" w:hAnsi="Times New Roman"/>
          <w:szCs w:val="24"/>
        </w:rPr>
        <w:t xml:space="preserve">. If you have </w:t>
      </w:r>
      <w:r>
        <w:rPr>
          <w:rFonts w:ascii="Times New Roman" w:hAnsi="Times New Roman"/>
          <w:szCs w:val="24"/>
        </w:rPr>
        <w:t>any further</w:t>
      </w:r>
      <w:r w:rsidRPr="00FE5BD0">
        <w:rPr>
          <w:rFonts w:ascii="Times New Roman" w:hAnsi="Times New Roman"/>
          <w:szCs w:val="24"/>
        </w:rPr>
        <w:t xml:space="preserve"> questions, please contact the Stable Isotope Lab directly: Bruce Vaughn (303-492-7985, </w:t>
      </w:r>
      <w:hyperlink r:id="rId5" w:history="1">
        <w:r w:rsidRPr="00FE5BD0">
          <w:rPr>
            <w:rStyle w:val="Hyperlink"/>
            <w:rFonts w:ascii="Times New Roman" w:hAnsi="Times New Roman"/>
            <w:szCs w:val="24"/>
          </w:rPr>
          <w:t>bruce.vaughn@colorado.edu</w:t>
        </w:r>
      </w:hyperlink>
      <w:r w:rsidRPr="00FE5BD0">
        <w:rPr>
          <w:rFonts w:ascii="Times New Roman" w:hAnsi="Times New Roman"/>
          <w:szCs w:val="24"/>
        </w:rPr>
        <w:t xml:space="preserve">) </w:t>
      </w:r>
    </w:p>
    <w:p w14:paraId="0B63E2A6" w14:textId="77777777" w:rsidR="003E0859" w:rsidRPr="00FE5BD0" w:rsidRDefault="003E0859" w:rsidP="00877D6A">
      <w:pPr>
        <w:ind w:right="-90"/>
        <w:jc w:val="both"/>
        <w:rPr>
          <w:rFonts w:ascii="Times New Roman" w:hAnsi="Times New Roman"/>
          <w:szCs w:val="24"/>
        </w:rPr>
      </w:pPr>
    </w:p>
    <w:p w14:paraId="11FABBA5" w14:textId="2F4A1E9F" w:rsidR="003E0859" w:rsidRPr="00FE5BD0" w:rsidRDefault="003E0859" w:rsidP="00877D6A">
      <w:pPr>
        <w:jc w:val="both"/>
        <w:rPr>
          <w:rFonts w:ascii="Times New Roman" w:hAnsi="Times New Roman"/>
          <w:szCs w:val="24"/>
        </w:rPr>
      </w:pPr>
      <w:r w:rsidRPr="00FE5BD0">
        <w:rPr>
          <w:rFonts w:ascii="Times New Roman" w:hAnsi="Times New Roman"/>
          <w:szCs w:val="24"/>
        </w:rPr>
        <w:t xml:space="preserve">The table below summarizes the results of the measured composition of </w:t>
      </w:r>
      <w:r>
        <w:rPr>
          <w:rFonts w:ascii="Symbol" w:hAnsi="Symbol"/>
        </w:rPr>
        <w:t></w:t>
      </w:r>
      <w:r w:rsidRPr="00FE5BD0">
        <w:rPr>
          <w:rFonts w:ascii="Times New Roman" w:hAnsi="Times New Roman"/>
          <w:szCs w:val="24"/>
          <w:vertAlign w:val="superscript"/>
        </w:rPr>
        <w:t>13</w:t>
      </w:r>
      <w:r w:rsidRPr="00FE5BD0">
        <w:rPr>
          <w:rFonts w:ascii="Times New Roman" w:hAnsi="Times New Roman"/>
          <w:szCs w:val="24"/>
        </w:rPr>
        <w:t>C in atmospheric CH</w:t>
      </w:r>
      <w:r w:rsidRPr="00FE5BD0">
        <w:rPr>
          <w:rFonts w:ascii="Times New Roman" w:hAnsi="Times New Roman"/>
          <w:szCs w:val="24"/>
          <w:vertAlign w:val="subscript"/>
        </w:rPr>
        <w:t>4</w:t>
      </w:r>
      <w:r w:rsidRPr="00FE5BD0">
        <w:rPr>
          <w:rFonts w:ascii="Times New Roman" w:hAnsi="Times New Roman"/>
          <w:szCs w:val="24"/>
        </w:rPr>
        <w:t xml:space="preserve"> in your</w:t>
      </w:r>
      <w:r>
        <w:rPr>
          <w:rFonts w:ascii="Times New Roman" w:hAnsi="Times New Roman"/>
          <w:szCs w:val="24"/>
        </w:rPr>
        <w:t xml:space="preserve"> </w:t>
      </w:r>
      <w:r w:rsidRPr="00FE5BD0">
        <w:rPr>
          <w:rFonts w:ascii="Times New Roman" w:hAnsi="Times New Roman"/>
          <w:szCs w:val="24"/>
        </w:rPr>
        <w:t xml:space="preserve">tank. Please note that these numbers are </w:t>
      </w:r>
      <w:r>
        <w:rPr>
          <w:rFonts w:ascii="Times New Roman" w:hAnsi="Times New Roman"/>
          <w:szCs w:val="24"/>
        </w:rPr>
        <w:t xml:space="preserve">considered </w:t>
      </w:r>
      <w:r w:rsidRPr="00FE5BD0">
        <w:rPr>
          <w:rFonts w:ascii="Times New Roman" w:hAnsi="Times New Roman"/>
          <w:szCs w:val="24"/>
        </w:rPr>
        <w:t xml:space="preserve">informational and </w:t>
      </w:r>
      <w:r w:rsidR="00AA3F6D">
        <w:rPr>
          <w:rFonts w:ascii="Times New Roman" w:hAnsi="Times New Roman"/>
          <w:szCs w:val="24"/>
        </w:rPr>
        <w:t xml:space="preserve">not a true calibration </w:t>
      </w:r>
      <w:proofErr w:type="gramStart"/>
      <w:r w:rsidR="00AA3F6D">
        <w:rPr>
          <w:rFonts w:ascii="Times New Roman" w:hAnsi="Times New Roman"/>
          <w:szCs w:val="24"/>
        </w:rPr>
        <w:t xml:space="preserve">of </w:t>
      </w:r>
      <w:r w:rsidRPr="00FE5BD0">
        <w:rPr>
          <w:rFonts w:ascii="Times New Roman" w:hAnsi="Times New Roman"/>
          <w:szCs w:val="24"/>
        </w:rPr>
        <w:t xml:space="preserve"> </w:t>
      </w:r>
      <w:r>
        <w:rPr>
          <w:rFonts w:ascii="Symbol" w:hAnsi="Symbol"/>
        </w:rPr>
        <w:t></w:t>
      </w:r>
      <w:proofErr w:type="gramEnd"/>
      <w:r w:rsidRPr="00FE5BD0">
        <w:rPr>
          <w:rFonts w:ascii="Times New Roman" w:hAnsi="Times New Roman"/>
          <w:szCs w:val="24"/>
          <w:vertAlign w:val="superscript"/>
        </w:rPr>
        <w:t>13</w:t>
      </w:r>
      <w:r w:rsidRPr="00FE5BD0">
        <w:rPr>
          <w:rFonts w:ascii="Times New Roman" w:hAnsi="Times New Roman"/>
          <w:szCs w:val="24"/>
        </w:rPr>
        <w:t xml:space="preserve">C </w:t>
      </w:r>
      <w:r w:rsidR="00AA3F6D">
        <w:rPr>
          <w:rFonts w:ascii="Times New Roman" w:hAnsi="Times New Roman"/>
          <w:szCs w:val="24"/>
        </w:rPr>
        <w:t xml:space="preserve">of </w:t>
      </w:r>
      <w:r w:rsidRPr="00FE5BD0">
        <w:rPr>
          <w:rFonts w:ascii="Times New Roman" w:hAnsi="Times New Roman"/>
          <w:szCs w:val="24"/>
        </w:rPr>
        <w:t xml:space="preserve">methane. </w:t>
      </w:r>
    </w:p>
    <w:p w14:paraId="5AFD6B67" w14:textId="77777777" w:rsidR="003E0859" w:rsidRDefault="003E0859" w:rsidP="00877D6A">
      <w:pPr>
        <w:spacing w:line="360" w:lineRule="auto"/>
        <w:jc w:val="both"/>
        <w:rPr>
          <w:rFonts w:ascii="Times New Roman" w:hAnsi="Times New Roman"/>
          <w:szCs w:val="24"/>
        </w:rPr>
      </w:pPr>
    </w:p>
    <w:tbl>
      <w:tblPr>
        <w:tblW w:w="9379" w:type="dxa"/>
        <w:tblInd w:w="93" w:type="dxa"/>
        <w:tblLook w:val="04A0" w:firstRow="1" w:lastRow="0" w:firstColumn="1" w:lastColumn="0" w:noHBand="0" w:noVBand="1"/>
      </w:tblPr>
      <w:tblGrid>
        <w:gridCol w:w="1596"/>
        <w:gridCol w:w="1881"/>
        <w:gridCol w:w="1980"/>
        <w:gridCol w:w="1983"/>
        <w:gridCol w:w="1939"/>
      </w:tblGrid>
      <w:tr w:rsidR="003E0859" w:rsidRPr="00BE1E2B" w14:paraId="51234A3E" w14:textId="77777777" w:rsidTr="00877D6A">
        <w:trPr>
          <w:trHeight w:val="373"/>
        </w:trPr>
        <w:tc>
          <w:tcPr>
            <w:tcW w:w="5457" w:type="dxa"/>
            <w:gridSpan w:val="3"/>
            <w:vMerge w:val="restart"/>
            <w:tcBorders>
              <w:top w:val="single" w:sz="8" w:space="0" w:color="auto"/>
              <w:left w:val="single" w:sz="8" w:space="0" w:color="auto"/>
              <w:bottom w:val="single" w:sz="8" w:space="0" w:color="000000"/>
              <w:right w:val="nil"/>
            </w:tcBorders>
            <w:shd w:val="clear" w:color="auto" w:fill="auto"/>
            <w:vAlign w:val="center"/>
            <w:hideMark/>
          </w:tcPr>
          <w:p w14:paraId="470E2CAD" w14:textId="77777777" w:rsidR="003E0859" w:rsidRPr="00BE1E2B" w:rsidRDefault="003E0859" w:rsidP="00877D6A">
            <w:pPr>
              <w:jc w:val="both"/>
              <w:rPr>
                <w:rFonts w:ascii="Geneva" w:eastAsia="Times New Roman" w:hAnsi="Geneva"/>
                <w:b/>
                <w:bCs/>
                <w:color w:val="000000"/>
                <w:sz w:val="28"/>
                <w:szCs w:val="28"/>
                <w:lang w:eastAsia="en-US"/>
              </w:rPr>
            </w:pPr>
            <w:r w:rsidRPr="00BE1E2B">
              <w:rPr>
                <w:rFonts w:ascii="Geneva" w:eastAsia="Times New Roman" w:hAnsi="Geneva"/>
                <w:b/>
                <w:bCs/>
                <w:color w:val="000000"/>
                <w:sz w:val="28"/>
                <w:szCs w:val="28"/>
                <w:lang w:eastAsia="en-US"/>
              </w:rPr>
              <w:t xml:space="preserve">Informational </w:t>
            </w:r>
            <w:r w:rsidRPr="00BE1E2B">
              <w:rPr>
                <w:rFonts w:ascii="Symbol" w:eastAsia="Times New Roman" w:hAnsi="Symbol"/>
                <w:b/>
                <w:bCs/>
                <w:color w:val="000000"/>
                <w:sz w:val="28"/>
                <w:szCs w:val="28"/>
                <w:lang w:eastAsia="en-US"/>
              </w:rPr>
              <w:t></w:t>
            </w:r>
            <w:r w:rsidRPr="00BE1E2B">
              <w:rPr>
                <w:rFonts w:ascii="Geneva" w:eastAsia="Times New Roman" w:hAnsi="Geneva"/>
                <w:b/>
                <w:bCs/>
                <w:color w:val="000000"/>
                <w:sz w:val="28"/>
                <w:szCs w:val="28"/>
                <w:vertAlign w:val="superscript"/>
                <w:lang w:eastAsia="en-US"/>
              </w:rPr>
              <w:t xml:space="preserve"> </w:t>
            </w:r>
            <w:r>
              <w:rPr>
                <w:rFonts w:ascii="Geneva" w:eastAsia="Times New Roman" w:hAnsi="Geneva"/>
                <w:b/>
                <w:bCs/>
                <w:color w:val="000000"/>
                <w:sz w:val="28"/>
                <w:szCs w:val="28"/>
                <w:vertAlign w:val="superscript"/>
                <w:lang w:eastAsia="en-US"/>
              </w:rPr>
              <w:t>1</w:t>
            </w:r>
            <w:r w:rsidRPr="00BE1E2B">
              <w:rPr>
                <w:rFonts w:ascii="Geneva" w:eastAsia="Times New Roman" w:hAnsi="Geneva"/>
                <w:b/>
                <w:bCs/>
                <w:color w:val="000000"/>
                <w:sz w:val="28"/>
                <w:szCs w:val="28"/>
                <w:vertAlign w:val="superscript"/>
                <w:lang w:eastAsia="en-US"/>
              </w:rPr>
              <w:t>3</w:t>
            </w:r>
            <w:r w:rsidRPr="00BE1E2B">
              <w:rPr>
                <w:rFonts w:ascii="Geneva" w:eastAsia="Times New Roman" w:hAnsi="Geneva"/>
                <w:b/>
                <w:bCs/>
                <w:color w:val="000000"/>
                <w:sz w:val="28"/>
                <w:szCs w:val="28"/>
                <w:lang w:eastAsia="en-US"/>
              </w:rPr>
              <w:t xml:space="preserve">C of Methane </w:t>
            </w:r>
          </w:p>
        </w:tc>
        <w:tc>
          <w:tcPr>
            <w:tcW w:w="3922" w:type="dxa"/>
            <w:gridSpan w:val="2"/>
            <w:vMerge w:val="restart"/>
            <w:tcBorders>
              <w:top w:val="single" w:sz="8" w:space="0" w:color="auto"/>
              <w:left w:val="nil"/>
              <w:bottom w:val="single" w:sz="8" w:space="0" w:color="000000"/>
              <w:right w:val="single" w:sz="8" w:space="0" w:color="000000"/>
            </w:tcBorders>
            <w:shd w:val="clear" w:color="auto" w:fill="auto"/>
            <w:vAlign w:val="center"/>
            <w:hideMark/>
          </w:tcPr>
          <w:p w14:paraId="0B63A70D" w14:textId="77777777" w:rsidR="00E670A7" w:rsidRDefault="00E670A7" w:rsidP="00E670A7">
            <w:pPr>
              <w:rPr>
                <w:rFonts w:ascii="Geneva" w:eastAsia="Times New Roman" w:hAnsi="Geneva"/>
                <w:b/>
                <w:bCs/>
                <w:color w:val="000000"/>
                <w:sz w:val="16"/>
                <w:szCs w:val="16"/>
                <w:lang w:eastAsia="en-US"/>
              </w:rPr>
            </w:pPr>
            <w:r>
              <w:rPr>
                <w:rFonts w:ascii="Geneva" w:eastAsia="Times New Roman" w:hAnsi="Geneva"/>
                <w:b/>
                <w:bCs/>
                <w:color w:val="000000"/>
                <w:sz w:val="16"/>
                <w:szCs w:val="16"/>
                <w:lang w:eastAsia="en-US"/>
              </w:rPr>
              <w:t>Stable Isotope Lab INSTAAR</w:t>
            </w:r>
          </w:p>
          <w:p w14:paraId="05D4D606" w14:textId="4A8D4925" w:rsidR="003E0859" w:rsidRPr="00BE1E2B" w:rsidRDefault="003E0859" w:rsidP="00E670A7">
            <w:pPr>
              <w:rPr>
                <w:rFonts w:ascii="Geneva" w:eastAsia="Times New Roman" w:hAnsi="Geneva"/>
                <w:b/>
                <w:bCs/>
                <w:color w:val="000000"/>
                <w:sz w:val="16"/>
                <w:szCs w:val="16"/>
                <w:lang w:eastAsia="en-US"/>
              </w:rPr>
            </w:pPr>
            <w:r w:rsidRPr="00BE1E2B">
              <w:rPr>
                <w:rFonts w:ascii="Geneva" w:eastAsia="Times New Roman" w:hAnsi="Geneva"/>
                <w:b/>
                <w:bCs/>
                <w:color w:val="000000"/>
                <w:sz w:val="16"/>
                <w:szCs w:val="16"/>
                <w:lang w:eastAsia="en-US"/>
              </w:rPr>
              <w:t>Univ</w:t>
            </w:r>
            <w:r w:rsidR="00E670A7">
              <w:rPr>
                <w:rFonts w:ascii="Geneva" w:eastAsia="Times New Roman" w:hAnsi="Geneva"/>
                <w:b/>
                <w:bCs/>
                <w:color w:val="000000"/>
                <w:sz w:val="16"/>
                <w:szCs w:val="16"/>
                <w:lang w:eastAsia="en-US"/>
              </w:rPr>
              <w:t xml:space="preserve">ersity of </w:t>
            </w:r>
            <w:r w:rsidR="00D339E4">
              <w:rPr>
                <w:rFonts w:ascii="Geneva" w:eastAsia="Times New Roman" w:hAnsi="Geneva"/>
                <w:b/>
                <w:bCs/>
                <w:color w:val="000000"/>
                <w:sz w:val="16"/>
                <w:szCs w:val="16"/>
                <w:lang w:eastAsia="en-US"/>
              </w:rPr>
              <w:t>Colorado, Boulder</w:t>
            </w:r>
          </w:p>
        </w:tc>
      </w:tr>
      <w:tr w:rsidR="003E0859" w:rsidRPr="00BE1E2B" w14:paraId="59751D96" w14:textId="77777777" w:rsidTr="00877D6A">
        <w:trPr>
          <w:trHeight w:val="373"/>
        </w:trPr>
        <w:tc>
          <w:tcPr>
            <w:tcW w:w="5457" w:type="dxa"/>
            <w:gridSpan w:val="3"/>
            <w:vMerge/>
            <w:tcBorders>
              <w:top w:val="single" w:sz="8" w:space="0" w:color="auto"/>
              <w:left w:val="single" w:sz="8" w:space="0" w:color="auto"/>
              <w:bottom w:val="single" w:sz="8" w:space="0" w:color="000000"/>
              <w:right w:val="nil"/>
            </w:tcBorders>
            <w:vAlign w:val="center"/>
            <w:hideMark/>
          </w:tcPr>
          <w:p w14:paraId="51E410DA" w14:textId="77777777" w:rsidR="003E0859" w:rsidRPr="00BE1E2B" w:rsidRDefault="003E0859" w:rsidP="00877D6A">
            <w:pPr>
              <w:jc w:val="both"/>
              <w:rPr>
                <w:rFonts w:ascii="Geneva" w:eastAsia="Times New Roman" w:hAnsi="Geneva"/>
                <w:b/>
                <w:bCs/>
                <w:color w:val="000000"/>
                <w:sz w:val="28"/>
                <w:szCs w:val="28"/>
                <w:lang w:eastAsia="en-US"/>
              </w:rPr>
            </w:pPr>
          </w:p>
        </w:tc>
        <w:tc>
          <w:tcPr>
            <w:tcW w:w="3922" w:type="dxa"/>
            <w:gridSpan w:val="2"/>
            <w:vMerge/>
            <w:tcBorders>
              <w:top w:val="single" w:sz="8" w:space="0" w:color="auto"/>
              <w:left w:val="nil"/>
              <w:bottom w:val="single" w:sz="8" w:space="0" w:color="000000"/>
              <w:right w:val="single" w:sz="8" w:space="0" w:color="000000"/>
            </w:tcBorders>
            <w:vAlign w:val="center"/>
            <w:hideMark/>
          </w:tcPr>
          <w:p w14:paraId="35675D5A" w14:textId="77777777" w:rsidR="003E0859" w:rsidRPr="00BE1E2B" w:rsidRDefault="003E0859" w:rsidP="00877D6A">
            <w:pPr>
              <w:jc w:val="both"/>
              <w:rPr>
                <w:rFonts w:ascii="Geneva" w:eastAsia="Times New Roman" w:hAnsi="Geneva"/>
                <w:b/>
                <w:bCs/>
                <w:color w:val="000000"/>
                <w:sz w:val="16"/>
                <w:szCs w:val="16"/>
                <w:lang w:eastAsia="en-US"/>
              </w:rPr>
            </w:pPr>
          </w:p>
        </w:tc>
      </w:tr>
      <w:tr w:rsidR="003E0859" w:rsidRPr="00BE1E2B" w14:paraId="2A44BC15"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7CFCDFCD" w14:textId="77777777" w:rsidR="003E0859" w:rsidRPr="00BE1E2B" w:rsidRDefault="003E0859" w:rsidP="00877D6A">
            <w:pPr>
              <w:jc w:val="both"/>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Cylinder ID</w:t>
            </w:r>
          </w:p>
        </w:tc>
        <w:tc>
          <w:tcPr>
            <w:tcW w:w="7783" w:type="dxa"/>
            <w:gridSpan w:val="4"/>
            <w:tcBorders>
              <w:top w:val="single" w:sz="8" w:space="0" w:color="auto"/>
              <w:left w:val="nil"/>
              <w:bottom w:val="single" w:sz="8" w:space="0" w:color="auto"/>
              <w:right w:val="single" w:sz="8" w:space="0" w:color="000000"/>
            </w:tcBorders>
            <w:shd w:val="clear" w:color="auto" w:fill="auto"/>
            <w:vAlign w:val="center"/>
          </w:tcPr>
          <w:p w14:paraId="0C22B349" w14:textId="618E13CA" w:rsidR="003E0859" w:rsidRPr="0010627A" w:rsidRDefault="003E0859" w:rsidP="00877D6A">
            <w:pPr>
              <w:jc w:val="both"/>
              <w:rPr>
                <w:rFonts w:ascii="Calibri" w:eastAsia="Times New Roman" w:hAnsi="Calibri"/>
                <w:color w:val="000000"/>
                <w:szCs w:val="24"/>
                <w:lang w:eastAsia="en-US"/>
              </w:rPr>
            </w:pPr>
          </w:p>
        </w:tc>
      </w:tr>
      <w:tr w:rsidR="003E0859" w:rsidRPr="00BE1E2B" w14:paraId="234038D0"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29F02CD3" w14:textId="77777777" w:rsidR="003E0859" w:rsidRPr="00BE1E2B" w:rsidRDefault="003E0859" w:rsidP="00877D6A">
            <w:pPr>
              <w:jc w:val="both"/>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Date filled</w:t>
            </w:r>
          </w:p>
        </w:tc>
        <w:tc>
          <w:tcPr>
            <w:tcW w:w="7783" w:type="dxa"/>
            <w:gridSpan w:val="4"/>
            <w:tcBorders>
              <w:top w:val="single" w:sz="8" w:space="0" w:color="auto"/>
              <w:left w:val="nil"/>
              <w:bottom w:val="single" w:sz="8" w:space="0" w:color="auto"/>
              <w:right w:val="single" w:sz="8" w:space="0" w:color="000000"/>
            </w:tcBorders>
            <w:shd w:val="clear" w:color="auto" w:fill="auto"/>
            <w:vAlign w:val="center"/>
          </w:tcPr>
          <w:p w14:paraId="7DF46128" w14:textId="608B782C" w:rsidR="003E0859" w:rsidRPr="0010627A" w:rsidRDefault="003E0859" w:rsidP="00877D6A">
            <w:pPr>
              <w:jc w:val="both"/>
              <w:rPr>
                <w:rFonts w:ascii="Calibri" w:eastAsia="Times New Roman" w:hAnsi="Calibri"/>
                <w:color w:val="000000"/>
                <w:szCs w:val="24"/>
                <w:lang w:eastAsia="en-US"/>
              </w:rPr>
            </w:pPr>
          </w:p>
        </w:tc>
      </w:tr>
      <w:tr w:rsidR="003E0859" w:rsidRPr="00BE1E2B" w14:paraId="6CBCF7FC" w14:textId="77777777" w:rsidTr="00877D6A">
        <w:trPr>
          <w:trHeight w:val="551"/>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71D05202" w14:textId="77777777" w:rsidR="003E0859" w:rsidRPr="00BE1E2B" w:rsidRDefault="003E0859" w:rsidP="00877D6A">
            <w:pPr>
              <w:jc w:val="both"/>
              <w:rPr>
                <w:rFonts w:ascii="Geneva" w:eastAsia="Times New Roman" w:hAnsi="Geneva"/>
                <w:b/>
                <w:bCs/>
                <w:color w:val="000000"/>
                <w:sz w:val="16"/>
                <w:szCs w:val="16"/>
                <w:lang w:eastAsia="en-US"/>
              </w:rPr>
            </w:pPr>
            <w:r w:rsidRPr="00BE1E2B">
              <w:rPr>
                <w:rFonts w:ascii="Geneva" w:eastAsia="Times New Roman" w:hAnsi="Geneva"/>
                <w:b/>
                <w:bCs/>
                <w:color w:val="000000"/>
                <w:sz w:val="16"/>
                <w:szCs w:val="16"/>
                <w:lang w:eastAsia="en-US"/>
              </w:rPr>
              <w:t>Date Analyzed</w:t>
            </w:r>
          </w:p>
        </w:tc>
        <w:tc>
          <w:tcPr>
            <w:tcW w:w="1881" w:type="dxa"/>
            <w:tcBorders>
              <w:top w:val="nil"/>
              <w:left w:val="nil"/>
              <w:bottom w:val="single" w:sz="8" w:space="0" w:color="auto"/>
              <w:right w:val="single" w:sz="8" w:space="0" w:color="auto"/>
            </w:tcBorders>
            <w:shd w:val="clear" w:color="auto" w:fill="auto"/>
            <w:vAlign w:val="center"/>
            <w:hideMark/>
          </w:tcPr>
          <w:p w14:paraId="5FE71DBF" w14:textId="77777777" w:rsidR="003E0859" w:rsidRPr="00BE1E2B" w:rsidRDefault="003E0859" w:rsidP="00167D92">
            <w:pPr>
              <w:jc w:val="center"/>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 xml:space="preserve">n </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1980" w:type="dxa"/>
            <w:tcBorders>
              <w:top w:val="nil"/>
              <w:left w:val="nil"/>
              <w:bottom w:val="single" w:sz="8" w:space="0" w:color="auto"/>
              <w:right w:val="single" w:sz="8" w:space="0" w:color="auto"/>
            </w:tcBorders>
            <w:shd w:val="clear" w:color="auto" w:fill="auto"/>
            <w:vAlign w:val="center"/>
            <w:hideMark/>
          </w:tcPr>
          <w:p w14:paraId="406D0E84" w14:textId="3CCAE973" w:rsidR="003E0859" w:rsidRPr="00BE1E2B" w:rsidRDefault="003E0859" w:rsidP="00167D92">
            <w:pPr>
              <w:jc w:val="center"/>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 xml:space="preserve">Mean </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1983" w:type="dxa"/>
            <w:tcBorders>
              <w:top w:val="nil"/>
              <w:left w:val="nil"/>
              <w:bottom w:val="single" w:sz="8" w:space="0" w:color="auto"/>
              <w:right w:val="single" w:sz="8" w:space="0" w:color="auto"/>
            </w:tcBorders>
            <w:shd w:val="clear" w:color="auto" w:fill="auto"/>
            <w:vAlign w:val="center"/>
            <w:hideMark/>
          </w:tcPr>
          <w:p w14:paraId="32D2A789" w14:textId="08387386" w:rsidR="003E0859" w:rsidRPr="00BE1E2B" w:rsidRDefault="003E0859" w:rsidP="00167D92">
            <w:pPr>
              <w:jc w:val="center"/>
              <w:rPr>
                <w:rFonts w:ascii="Geneva" w:eastAsia="Times New Roman" w:hAnsi="Geneva"/>
                <w:b/>
                <w:bCs/>
                <w:color w:val="000000"/>
                <w:sz w:val="16"/>
                <w:szCs w:val="16"/>
                <w:lang w:eastAsia="en-US"/>
              </w:rPr>
            </w:pPr>
            <w:r w:rsidRPr="00BE1E2B">
              <w:rPr>
                <w:rFonts w:ascii="Geneva" w:eastAsia="Times New Roman" w:hAnsi="Geneva"/>
                <w:b/>
                <w:bCs/>
                <w:color w:val="000000"/>
                <w:sz w:val="18"/>
                <w:szCs w:val="18"/>
                <w:lang w:eastAsia="en-US"/>
              </w:rPr>
              <w:t>1</w:t>
            </w:r>
            <w:r w:rsidR="00E705C7">
              <w:rPr>
                <w:rFonts w:ascii="Symbol" w:eastAsia="Times New Roman" w:hAnsi="Symbol"/>
                <w:b/>
                <w:bCs/>
                <w:color w:val="000000"/>
                <w:sz w:val="18"/>
                <w:szCs w:val="18"/>
                <w:lang w:eastAsia="en-US"/>
              </w:rPr>
              <w:t></w:t>
            </w:r>
            <w:r w:rsidR="00E705C7">
              <w:rPr>
                <w:rFonts w:ascii="Symbol" w:eastAsia="Times New Roman" w:hAnsi="Symbol"/>
                <w:b/>
                <w:bCs/>
                <w:color w:val="000000"/>
                <w:sz w:val="18"/>
                <w:szCs w:val="18"/>
                <w:lang w:eastAsia="en-US"/>
              </w:rPr>
              <w:t></w:t>
            </w:r>
            <w:r w:rsidR="00E705C7">
              <w:rPr>
                <w:rFonts w:ascii="Symbol" w:eastAsia="Times New Roman" w:hAnsi="Symbol"/>
                <w:b/>
                <w:bCs/>
                <w:color w:val="000000"/>
                <w:sz w:val="18"/>
                <w:szCs w:val="18"/>
                <w:lang w:eastAsia="en-US"/>
              </w:rPr>
              <w:t></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1939" w:type="dxa"/>
            <w:tcBorders>
              <w:top w:val="nil"/>
              <w:left w:val="nil"/>
              <w:bottom w:val="single" w:sz="8" w:space="0" w:color="auto"/>
              <w:right w:val="single" w:sz="8" w:space="0" w:color="auto"/>
            </w:tcBorders>
            <w:shd w:val="clear" w:color="auto" w:fill="auto"/>
            <w:vAlign w:val="center"/>
            <w:hideMark/>
          </w:tcPr>
          <w:p w14:paraId="5671F47B" w14:textId="09D7F47C" w:rsidR="003E0859" w:rsidRPr="00BE1E2B" w:rsidRDefault="003E0859" w:rsidP="00877D6A">
            <w:pPr>
              <w:jc w:val="both"/>
              <w:rPr>
                <w:rFonts w:ascii="Symbol" w:eastAsia="Times New Roman" w:hAnsi="Symbol"/>
                <w:b/>
                <w:bCs/>
                <w:color w:val="000000"/>
                <w:sz w:val="18"/>
                <w:szCs w:val="18"/>
                <w:lang w:eastAsia="en-US"/>
              </w:rPr>
            </w:pP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r w:rsidRPr="00BE1E2B">
              <w:rPr>
                <w:rFonts w:ascii="Geneva" w:eastAsia="Times New Roman" w:hAnsi="Geneva"/>
                <w:b/>
                <w:bCs/>
                <w:color w:val="000000"/>
                <w:sz w:val="16"/>
                <w:szCs w:val="16"/>
                <w:lang w:eastAsia="en-US"/>
              </w:rPr>
              <w:t xml:space="preserve"> Uncertainty</w:t>
            </w:r>
            <w:r w:rsidR="00E705C7">
              <w:rPr>
                <w:rFonts w:ascii="Geneva" w:eastAsia="Times New Roman" w:hAnsi="Geneva"/>
                <w:b/>
                <w:bCs/>
                <w:color w:val="000000"/>
                <w:sz w:val="16"/>
                <w:szCs w:val="16"/>
                <w:lang w:eastAsia="en-US"/>
              </w:rPr>
              <w:t>*</w:t>
            </w:r>
          </w:p>
        </w:tc>
      </w:tr>
      <w:tr w:rsidR="0010627A" w:rsidRPr="00BE1E2B" w14:paraId="0A18B056"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bottom"/>
          </w:tcPr>
          <w:p w14:paraId="28826E91" w14:textId="29A89E35" w:rsidR="0010627A" w:rsidRPr="00BE1E2B" w:rsidRDefault="0010627A" w:rsidP="0010627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bottom"/>
          </w:tcPr>
          <w:p w14:paraId="2ED8796F" w14:textId="19749C9B" w:rsidR="0010627A" w:rsidRPr="00BE1E2B" w:rsidRDefault="0010627A" w:rsidP="0010627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bottom"/>
          </w:tcPr>
          <w:p w14:paraId="41B7591D" w14:textId="0658D874" w:rsidR="0010627A" w:rsidRPr="00BE1E2B" w:rsidRDefault="0010627A" w:rsidP="0010627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bottom"/>
          </w:tcPr>
          <w:p w14:paraId="31E27372" w14:textId="741936D1" w:rsidR="0010627A" w:rsidRPr="00BE1E2B" w:rsidRDefault="0010627A"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auto" w:fill="auto"/>
            <w:vAlign w:val="bottom"/>
          </w:tcPr>
          <w:p w14:paraId="5773A1F2" w14:textId="0FCAD9FB" w:rsidR="0010627A" w:rsidRPr="00BE1E2B" w:rsidRDefault="0010627A" w:rsidP="0010627A">
            <w:pPr>
              <w:jc w:val="both"/>
              <w:rPr>
                <w:rFonts w:ascii="Calibri" w:eastAsia="Times New Roman" w:hAnsi="Calibri"/>
                <w:color w:val="000000"/>
                <w:szCs w:val="24"/>
                <w:lang w:eastAsia="en-US"/>
              </w:rPr>
            </w:pPr>
          </w:p>
        </w:tc>
      </w:tr>
      <w:tr w:rsidR="0010627A" w:rsidRPr="00BE1E2B" w14:paraId="52E071C7"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bottom"/>
          </w:tcPr>
          <w:p w14:paraId="70318A89" w14:textId="7E915B90" w:rsidR="0010627A" w:rsidRPr="00BE1E2B" w:rsidRDefault="0010627A" w:rsidP="0010627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bottom"/>
          </w:tcPr>
          <w:p w14:paraId="379CABEC" w14:textId="758B5D90" w:rsidR="0010627A" w:rsidRPr="00BE1E2B" w:rsidRDefault="0010627A" w:rsidP="0010627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bottom"/>
          </w:tcPr>
          <w:p w14:paraId="107C43D8" w14:textId="4DDEC07D" w:rsidR="0010627A" w:rsidRPr="00BE1E2B" w:rsidRDefault="0010627A" w:rsidP="0010627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bottom"/>
          </w:tcPr>
          <w:p w14:paraId="0A437769" w14:textId="18F0183E" w:rsidR="0010627A" w:rsidRPr="00BE1E2B" w:rsidRDefault="0010627A"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auto" w:fill="auto"/>
            <w:vAlign w:val="bottom"/>
          </w:tcPr>
          <w:p w14:paraId="5948A4A0" w14:textId="44CA1E10" w:rsidR="0010627A" w:rsidRPr="00BE1E2B" w:rsidRDefault="0010627A" w:rsidP="0010627A">
            <w:pPr>
              <w:jc w:val="both"/>
              <w:rPr>
                <w:rFonts w:ascii="Calibri" w:eastAsia="Times New Roman" w:hAnsi="Calibri"/>
                <w:color w:val="000000"/>
                <w:szCs w:val="24"/>
                <w:lang w:eastAsia="en-US"/>
              </w:rPr>
            </w:pPr>
          </w:p>
        </w:tc>
      </w:tr>
      <w:tr w:rsidR="0010627A" w:rsidRPr="00BE1E2B" w14:paraId="6B273399"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bottom"/>
          </w:tcPr>
          <w:p w14:paraId="0779CF77" w14:textId="0DDED437" w:rsidR="0010627A" w:rsidRPr="00BE1E2B" w:rsidRDefault="0010627A" w:rsidP="0010627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bottom"/>
          </w:tcPr>
          <w:p w14:paraId="6718B87B" w14:textId="095E9DF7" w:rsidR="0010627A" w:rsidRPr="00BE1E2B" w:rsidRDefault="0010627A" w:rsidP="0010627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bottom"/>
          </w:tcPr>
          <w:p w14:paraId="3A6A45FD" w14:textId="3C6853AB" w:rsidR="0010627A" w:rsidRPr="00BE1E2B" w:rsidRDefault="0010627A" w:rsidP="0010627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bottom"/>
          </w:tcPr>
          <w:p w14:paraId="1A0BC5B1" w14:textId="2E598C4E" w:rsidR="0010627A" w:rsidRPr="00BE1E2B" w:rsidRDefault="0010627A"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auto" w:fill="auto"/>
            <w:vAlign w:val="bottom"/>
          </w:tcPr>
          <w:p w14:paraId="50ABD56A" w14:textId="2972A610" w:rsidR="0010627A" w:rsidRPr="00BE1E2B" w:rsidRDefault="0010627A" w:rsidP="0010627A">
            <w:pPr>
              <w:jc w:val="both"/>
              <w:rPr>
                <w:rFonts w:ascii="Calibri" w:eastAsia="Times New Roman" w:hAnsi="Calibri"/>
                <w:color w:val="000000"/>
                <w:szCs w:val="24"/>
                <w:lang w:eastAsia="en-US"/>
              </w:rPr>
            </w:pPr>
          </w:p>
        </w:tc>
      </w:tr>
      <w:tr w:rsidR="0010627A" w:rsidRPr="00BE1E2B" w14:paraId="676DFB2D"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bottom"/>
          </w:tcPr>
          <w:p w14:paraId="59F36A98" w14:textId="65689A3D" w:rsidR="0010627A" w:rsidRPr="00BE1E2B" w:rsidRDefault="0010627A" w:rsidP="0010627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bottom"/>
          </w:tcPr>
          <w:p w14:paraId="6A4D265A" w14:textId="15652C7E" w:rsidR="0010627A" w:rsidRPr="00BE1E2B" w:rsidRDefault="0010627A" w:rsidP="0010627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bottom"/>
          </w:tcPr>
          <w:p w14:paraId="2CC5426F" w14:textId="79F70AC5" w:rsidR="0010627A" w:rsidRPr="00BE1E2B" w:rsidRDefault="0010627A" w:rsidP="0010627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bottom"/>
          </w:tcPr>
          <w:p w14:paraId="269259D8" w14:textId="219C084C" w:rsidR="0010627A" w:rsidRPr="00BE1E2B" w:rsidRDefault="0010627A"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auto" w:fill="auto"/>
            <w:vAlign w:val="bottom"/>
          </w:tcPr>
          <w:p w14:paraId="578D6BD0" w14:textId="38800066" w:rsidR="0010627A" w:rsidRPr="00BE1E2B" w:rsidRDefault="0010627A" w:rsidP="0010627A">
            <w:pPr>
              <w:jc w:val="both"/>
              <w:rPr>
                <w:rFonts w:ascii="Calibri" w:eastAsia="Times New Roman" w:hAnsi="Calibri"/>
                <w:color w:val="000000"/>
                <w:szCs w:val="24"/>
                <w:lang w:eastAsia="en-US"/>
              </w:rPr>
            </w:pPr>
          </w:p>
        </w:tc>
      </w:tr>
      <w:tr w:rsidR="005E220B" w:rsidRPr="00BE1E2B" w14:paraId="7C7F092E"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bottom"/>
          </w:tcPr>
          <w:p w14:paraId="29966B0F" w14:textId="77777777" w:rsidR="005E220B" w:rsidRPr="00BE1E2B" w:rsidRDefault="005E220B" w:rsidP="0010627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bottom"/>
          </w:tcPr>
          <w:p w14:paraId="0A95E63C" w14:textId="77777777" w:rsidR="005E220B" w:rsidRPr="00BE1E2B" w:rsidRDefault="005E220B" w:rsidP="0010627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bottom"/>
          </w:tcPr>
          <w:p w14:paraId="33AE3FB9" w14:textId="77777777" w:rsidR="005E220B" w:rsidRPr="00BE1E2B" w:rsidRDefault="005E220B" w:rsidP="0010627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bottom"/>
          </w:tcPr>
          <w:p w14:paraId="3ECF7153" w14:textId="77777777" w:rsidR="005E220B" w:rsidRPr="00BE1E2B" w:rsidRDefault="005E220B"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auto" w:fill="auto"/>
            <w:vAlign w:val="bottom"/>
          </w:tcPr>
          <w:p w14:paraId="373B642E" w14:textId="77777777" w:rsidR="005E220B" w:rsidRPr="00BE1E2B" w:rsidRDefault="005E220B" w:rsidP="0010627A">
            <w:pPr>
              <w:jc w:val="both"/>
              <w:rPr>
                <w:rFonts w:ascii="Calibri" w:eastAsia="Times New Roman" w:hAnsi="Calibri"/>
                <w:color w:val="000000"/>
                <w:szCs w:val="24"/>
                <w:lang w:eastAsia="en-US"/>
              </w:rPr>
            </w:pPr>
          </w:p>
        </w:tc>
      </w:tr>
      <w:tr w:rsidR="005E220B" w:rsidRPr="00BE1E2B" w14:paraId="684CEB7C"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bottom"/>
          </w:tcPr>
          <w:p w14:paraId="000E6C15" w14:textId="77777777" w:rsidR="005E220B" w:rsidRPr="00BE1E2B" w:rsidRDefault="005E220B" w:rsidP="0010627A">
            <w:pPr>
              <w:jc w:val="both"/>
              <w:rPr>
                <w:rFonts w:ascii="Calibri" w:eastAsia="Times New Roman" w:hAnsi="Calibri"/>
                <w:color w:val="000000"/>
                <w:szCs w:val="24"/>
                <w:lang w:eastAsia="en-US"/>
              </w:rPr>
            </w:pPr>
            <w:bookmarkStart w:id="0" w:name="_GoBack"/>
          </w:p>
        </w:tc>
        <w:tc>
          <w:tcPr>
            <w:tcW w:w="1881" w:type="dxa"/>
            <w:tcBorders>
              <w:top w:val="nil"/>
              <w:left w:val="nil"/>
              <w:bottom w:val="single" w:sz="8" w:space="0" w:color="auto"/>
              <w:right w:val="single" w:sz="8" w:space="0" w:color="auto"/>
            </w:tcBorders>
            <w:shd w:val="clear" w:color="auto" w:fill="auto"/>
            <w:vAlign w:val="bottom"/>
          </w:tcPr>
          <w:p w14:paraId="4455097E" w14:textId="77777777" w:rsidR="005E220B" w:rsidRPr="00BE1E2B" w:rsidRDefault="005E220B" w:rsidP="0010627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bottom"/>
          </w:tcPr>
          <w:p w14:paraId="0D5A0987" w14:textId="77777777" w:rsidR="005E220B" w:rsidRPr="00BE1E2B" w:rsidRDefault="005E220B" w:rsidP="0010627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bottom"/>
          </w:tcPr>
          <w:p w14:paraId="522C3205" w14:textId="77777777" w:rsidR="005E220B" w:rsidRPr="00BE1E2B" w:rsidRDefault="005E220B"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auto" w:fill="auto"/>
            <w:vAlign w:val="bottom"/>
          </w:tcPr>
          <w:p w14:paraId="0487C994" w14:textId="77777777" w:rsidR="005E220B" w:rsidRPr="00BE1E2B" w:rsidRDefault="005E220B" w:rsidP="0010627A">
            <w:pPr>
              <w:jc w:val="both"/>
              <w:rPr>
                <w:rFonts w:ascii="Calibri" w:eastAsia="Times New Roman" w:hAnsi="Calibri"/>
                <w:color w:val="000000"/>
                <w:szCs w:val="24"/>
                <w:lang w:eastAsia="en-US"/>
              </w:rPr>
            </w:pPr>
          </w:p>
        </w:tc>
      </w:tr>
      <w:bookmarkEnd w:id="0"/>
      <w:tr w:rsidR="003E0859" w:rsidRPr="00BE1E2B" w14:paraId="3051B025" w14:textId="77777777" w:rsidTr="00877D6A">
        <w:trPr>
          <w:trHeight w:val="433"/>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2BC7F566" w14:textId="77777777" w:rsidR="003E0859" w:rsidRPr="00BE1E2B" w:rsidRDefault="003E0859" w:rsidP="00877D6A">
            <w:pPr>
              <w:jc w:val="both"/>
              <w:rPr>
                <w:rFonts w:eastAsia="Times New Roman"/>
                <w:color w:val="000000"/>
                <w:szCs w:val="24"/>
                <w:lang w:eastAsia="en-US"/>
              </w:rPr>
            </w:pPr>
            <w:r w:rsidRPr="00BE1E2B">
              <w:rPr>
                <w:rFonts w:eastAsia="Times New Roman"/>
                <w:color w:val="000000"/>
                <w:szCs w:val="24"/>
                <w:lang w:eastAsia="en-US"/>
              </w:rPr>
              <w:t> </w:t>
            </w:r>
          </w:p>
        </w:tc>
        <w:tc>
          <w:tcPr>
            <w:tcW w:w="1881" w:type="dxa"/>
            <w:tcBorders>
              <w:top w:val="nil"/>
              <w:left w:val="nil"/>
              <w:bottom w:val="single" w:sz="8" w:space="0" w:color="auto"/>
              <w:right w:val="single" w:sz="8" w:space="0" w:color="auto"/>
            </w:tcBorders>
            <w:shd w:val="clear" w:color="auto" w:fill="auto"/>
            <w:vAlign w:val="center"/>
            <w:hideMark/>
          </w:tcPr>
          <w:p w14:paraId="311E1582" w14:textId="77777777" w:rsidR="003E0859" w:rsidRPr="00BE1E2B" w:rsidRDefault="003E0859" w:rsidP="00167D92">
            <w:pPr>
              <w:jc w:val="center"/>
              <w:rPr>
                <w:rFonts w:ascii="Geneva" w:eastAsia="Times New Roman" w:hAnsi="Geneva"/>
                <w:b/>
                <w:bCs/>
                <w:color w:val="000000"/>
                <w:sz w:val="16"/>
                <w:szCs w:val="16"/>
                <w:lang w:eastAsia="en-US"/>
              </w:rPr>
            </w:pPr>
            <w:r w:rsidRPr="00BE1E2B">
              <w:rPr>
                <w:rFonts w:ascii="Geneva" w:eastAsia="Times New Roman" w:hAnsi="Geneva"/>
                <w:b/>
                <w:bCs/>
                <w:color w:val="000000"/>
                <w:sz w:val="16"/>
                <w:szCs w:val="16"/>
                <w:lang w:eastAsia="en-US"/>
              </w:rPr>
              <w:t xml:space="preserve">Total n </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3963" w:type="dxa"/>
            <w:gridSpan w:val="2"/>
            <w:tcBorders>
              <w:top w:val="single" w:sz="8" w:space="0" w:color="auto"/>
              <w:left w:val="nil"/>
              <w:bottom w:val="single" w:sz="8" w:space="0" w:color="auto"/>
              <w:right w:val="single" w:sz="8" w:space="0" w:color="000000"/>
            </w:tcBorders>
            <w:shd w:val="clear" w:color="auto" w:fill="auto"/>
            <w:vAlign w:val="center"/>
            <w:hideMark/>
          </w:tcPr>
          <w:p w14:paraId="6A2BF2B1" w14:textId="77777777" w:rsidR="003E0859" w:rsidRPr="00BE1E2B" w:rsidRDefault="003E0859" w:rsidP="00167D92">
            <w:pPr>
              <w:jc w:val="center"/>
              <w:rPr>
                <w:rFonts w:ascii="Symbol" w:eastAsia="Times New Roman" w:hAnsi="Symbol"/>
                <w:b/>
                <w:bCs/>
                <w:color w:val="000000"/>
                <w:szCs w:val="24"/>
                <w:lang w:eastAsia="en-US"/>
              </w:rPr>
            </w:pPr>
            <w:r w:rsidRPr="00BE1E2B">
              <w:rPr>
                <w:rFonts w:ascii="Symbol" w:eastAsia="Times New Roman" w:hAnsi="Symbol"/>
                <w:b/>
                <w:bCs/>
                <w:color w:val="000000"/>
                <w:szCs w:val="24"/>
                <w:lang w:eastAsia="en-US"/>
              </w:rPr>
              <w:t></w:t>
            </w:r>
            <w:r w:rsidRPr="00BE1E2B">
              <w:rPr>
                <w:rFonts w:ascii="Geneva" w:eastAsia="Times New Roman" w:hAnsi="Geneva"/>
                <w:b/>
                <w:bCs/>
                <w:color w:val="000000"/>
                <w:sz w:val="28"/>
                <w:szCs w:val="28"/>
                <w:vertAlign w:val="superscript"/>
                <w:lang w:eastAsia="en-US"/>
              </w:rPr>
              <w:t>13</w:t>
            </w:r>
            <w:r w:rsidRPr="00BE1E2B">
              <w:rPr>
                <w:rFonts w:ascii="Geneva" w:eastAsia="Times New Roman" w:hAnsi="Geneva"/>
                <w:b/>
                <w:bCs/>
                <w:color w:val="000000"/>
                <w:szCs w:val="24"/>
                <w:lang w:eastAsia="en-US"/>
              </w:rPr>
              <w:t>C</w:t>
            </w:r>
          </w:p>
        </w:tc>
        <w:tc>
          <w:tcPr>
            <w:tcW w:w="1939" w:type="dxa"/>
            <w:tcBorders>
              <w:top w:val="nil"/>
              <w:left w:val="nil"/>
              <w:bottom w:val="single" w:sz="8" w:space="0" w:color="auto"/>
              <w:right w:val="single" w:sz="8" w:space="0" w:color="auto"/>
            </w:tcBorders>
            <w:shd w:val="clear" w:color="auto" w:fill="auto"/>
            <w:vAlign w:val="center"/>
            <w:hideMark/>
          </w:tcPr>
          <w:p w14:paraId="330A61AB" w14:textId="77777777" w:rsidR="003E0859" w:rsidRPr="00BE1E2B" w:rsidRDefault="003E0859" w:rsidP="00167D92">
            <w:pPr>
              <w:jc w:val="center"/>
              <w:rPr>
                <w:rFonts w:ascii="Geneva" w:eastAsia="Times New Roman" w:hAnsi="Geneva"/>
                <w:b/>
                <w:bCs/>
                <w:color w:val="000000"/>
                <w:sz w:val="18"/>
                <w:szCs w:val="18"/>
                <w:lang w:eastAsia="en-US"/>
              </w:rPr>
            </w:pPr>
            <w:proofErr w:type="spellStart"/>
            <w:r w:rsidRPr="00BE1E2B">
              <w:rPr>
                <w:rFonts w:ascii="Geneva" w:eastAsia="Times New Roman" w:hAnsi="Geneva"/>
                <w:b/>
                <w:bCs/>
                <w:color w:val="000000"/>
                <w:sz w:val="18"/>
                <w:szCs w:val="18"/>
                <w:lang w:eastAsia="en-US"/>
              </w:rPr>
              <w:t>Std</w:t>
            </w:r>
            <w:proofErr w:type="spellEnd"/>
            <w:r w:rsidRPr="00BE1E2B">
              <w:rPr>
                <w:rFonts w:ascii="Geneva" w:eastAsia="Times New Roman" w:hAnsi="Geneva"/>
                <w:b/>
                <w:bCs/>
                <w:color w:val="000000"/>
                <w:sz w:val="18"/>
                <w:szCs w:val="18"/>
                <w:lang w:eastAsia="en-US"/>
              </w:rPr>
              <w:t xml:space="preserve"> error</w:t>
            </w:r>
          </w:p>
        </w:tc>
      </w:tr>
      <w:tr w:rsidR="0010627A" w:rsidRPr="00BE1E2B" w14:paraId="30393643" w14:textId="77777777" w:rsidTr="0073442B">
        <w:trPr>
          <w:trHeight w:val="315"/>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48DF38CF" w14:textId="77777777" w:rsidR="0010627A" w:rsidRPr="00BE1E2B" w:rsidRDefault="0010627A" w:rsidP="0010627A">
            <w:pPr>
              <w:jc w:val="both"/>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Final Value</w:t>
            </w:r>
          </w:p>
        </w:tc>
        <w:tc>
          <w:tcPr>
            <w:tcW w:w="1881" w:type="dxa"/>
            <w:tcBorders>
              <w:top w:val="nil"/>
              <w:left w:val="nil"/>
              <w:bottom w:val="single" w:sz="8" w:space="0" w:color="auto"/>
              <w:right w:val="single" w:sz="8" w:space="0" w:color="auto"/>
            </w:tcBorders>
            <w:shd w:val="clear" w:color="auto" w:fill="auto"/>
            <w:vAlign w:val="bottom"/>
          </w:tcPr>
          <w:p w14:paraId="36932DF9" w14:textId="4637AA42" w:rsidR="0010627A" w:rsidRPr="00BE1E2B" w:rsidRDefault="0010627A" w:rsidP="0010627A">
            <w:pPr>
              <w:jc w:val="both"/>
              <w:rPr>
                <w:rFonts w:ascii="Calibri" w:eastAsia="Times New Roman" w:hAnsi="Calibri"/>
                <w:color w:val="000000"/>
                <w:szCs w:val="24"/>
                <w:lang w:eastAsia="en-US"/>
              </w:rPr>
            </w:pPr>
          </w:p>
        </w:tc>
        <w:tc>
          <w:tcPr>
            <w:tcW w:w="3963" w:type="dxa"/>
            <w:gridSpan w:val="2"/>
            <w:tcBorders>
              <w:top w:val="single" w:sz="8" w:space="0" w:color="auto"/>
              <w:left w:val="nil"/>
              <w:bottom w:val="single" w:sz="8" w:space="0" w:color="auto"/>
              <w:right w:val="single" w:sz="8" w:space="0" w:color="000000"/>
            </w:tcBorders>
            <w:shd w:val="clear" w:color="auto" w:fill="auto"/>
            <w:vAlign w:val="bottom"/>
          </w:tcPr>
          <w:p w14:paraId="47577BF4" w14:textId="77EC7B00" w:rsidR="0010627A" w:rsidRPr="00BE1E2B" w:rsidRDefault="0010627A" w:rsidP="0010627A">
            <w:pPr>
              <w:jc w:val="both"/>
              <w:rPr>
                <w:rFonts w:ascii="Calibri" w:eastAsia="Times New Roman" w:hAnsi="Calibri"/>
                <w:color w:val="000000"/>
                <w:szCs w:val="24"/>
                <w:lang w:eastAsia="en-US"/>
              </w:rPr>
            </w:pPr>
          </w:p>
        </w:tc>
        <w:tc>
          <w:tcPr>
            <w:tcW w:w="1939" w:type="dxa"/>
            <w:tcBorders>
              <w:top w:val="nil"/>
              <w:left w:val="nil"/>
              <w:bottom w:val="single" w:sz="8" w:space="0" w:color="auto"/>
              <w:right w:val="single" w:sz="8" w:space="0" w:color="auto"/>
            </w:tcBorders>
            <w:shd w:val="clear" w:color="000000" w:fill="FFFFFF"/>
            <w:vAlign w:val="bottom"/>
          </w:tcPr>
          <w:p w14:paraId="023B18F6" w14:textId="78F20666" w:rsidR="0010627A" w:rsidRPr="00BE1E2B" w:rsidRDefault="0010627A" w:rsidP="0010627A">
            <w:pPr>
              <w:jc w:val="both"/>
              <w:rPr>
                <w:rFonts w:ascii="Calibri" w:eastAsia="Times New Roman" w:hAnsi="Calibri"/>
                <w:color w:val="000000"/>
                <w:szCs w:val="24"/>
                <w:lang w:eastAsia="en-US"/>
              </w:rPr>
            </w:pPr>
          </w:p>
        </w:tc>
      </w:tr>
    </w:tbl>
    <w:p w14:paraId="1DE37838" w14:textId="77777777" w:rsidR="003E0859" w:rsidRDefault="003E0859" w:rsidP="00877D6A">
      <w:pPr>
        <w:spacing w:line="360" w:lineRule="auto"/>
        <w:jc w:val="both"/>
        <w:rPr>
          <w:rFonts w:ascii="Times New Roman" w:hAnsi="Times New Roman"/>
          <w:szCs w:val="24"/>
        </w:rPr>
      </w:pPr>
    </w:p>
    <w:p w14:paraId="06C7AE80" w14:textId="663E334E" w:rsidR="000C7F0E" w:rsidRDefault="00E705C7" w:rsidP="00E705C7">
      <w:pPr>
        <w:jc w:val="both"/>
        <w:rPr>
          <w:rFonts w:ascii="Times New Roman" w:hAnsi="Times New Roman"/>
          <w:szCs w:val="24"/>
        </w:rPr>
      </w:pPr>
      <w:r>
        <w:rPr>
          <w:rFonts w:ascii="Times New Roman" w:hAnsi="Times New Roman"/>
          <w:szCs w:val="24"/>
        </w:rPr>
        <w:t>* Standard deviation of “trap tank” (a cylinder of known value) over roughly 10 days of analysis.</w:t>
      </w:r>
    </w:p>
    <w:p w14:paraId="5B9E9DE5" w14:textId="77777777" w:rsidR="00E705C7" w:rsidRDefault="00E705C7" w:rsidP="00E705C7">
      <w:pPr>
        <w:jc w:val="both"/>
        <w:rPr>
          <w:rFonts w:ascii="Times New Roman" w:hAnsi="Times New Roman"/>
          <w:szCs w:val="24"/>
        </w:rPr>
      </w:pPr>
    </w:p>
    <w:p w14:paraId="7507E9FA" w14:textId="77777777" w:rsidR="00E705C7" w:rsidRDefault="00E705C7" w:rsidP="00877D6A">
      <w:pPr>
        <w:jc w:val="both"/>
        <w:rPr>
          <w:i/>
        </w:rPr>
      </w:pPr>
    </w:p>
    <w:p w14:paraId="4BA8126E" w14:textId="77777777" w:rsidR="00E705C7" w:rsidRDefault="00E705C7" w:rsidP="00877D6A">
      <w:pPr>
        <w:jc w:val="both"/>
        <w:rPr>
          <w:i/>
        </w:rPr>
      </w:pPr>
    </w:p>
    <w:p w14:paraId="3B97F224" w14:textId="7C6D871B" w:rsidR="00877D6A" w:rsidRPr="008B46DA" w:rsidRDefault="00877D6A" w:rsidP="00877D6A">
      <w:pPr>
        <w:jc w:val="both"/>
        <w:rPr>
          <w:i/>
        </w:rPr>
      </w:pPr>
      <w:r>
        <w:rPr>
          <w:i/>
        </w:rPr>
        <w:t>Measurement details</w:t>
      </w:r>
    </w:p>
    <w:p w14:paraId="5C12E19E" w14:textId="0984B4A0" w:rsidR="00877D6A" w:rsidRDefault="003E0859" w:rsidP="00877D6A">
      <w:pPr>
        <w:jc w:val="both"/>
      </w:pPr>
      <w:r>
        <w:tab/>
      </w:r>
    </w:p>
    <w:p w14:paraId="633DFC59" w14:textId="51246DB2" w:rsidR="00877D6A" w:rsidRPr="00877D6A" w:rsidRDefault="00877D6A" w:rsidP="00877D6A">
      <w:pPr>
        <w:ind w:firstLine="720"/>
        <w:jc w:val="both"/>
        <w:rPr>
          <w:rFonts w:ascii="Times New Roman" w:hAnsi="Times New Roman"/>
          <w:szCs w:val="24"/>
        </w:rPr>
      </w:pPr>
      <w:r w:rsidRPr="00FE5BD0">
        <w:rPr>
          <w:rFonts w:ascii="Times New Roman" w:hAnsi="Times New Roman"/>
          <w:szCs w:val="24"/>
        </w:rPr>
        <w:t>Measurements are made using a</w:t>
      </w:r>
      <w:r>
        <w:rPr>
          <w:rFonts w:ascii="Times New Roman" w:hAnsi="Times New Roman"/>
          <w:szCs w:val="24"/>
        </w:rPr>
        <w:t>n</w:t>
      </w:r>
      <w:r w:rsidRPr="00FE5BD0">
        <w:rPr>
          <w:rFonts w:ascii="Times New Roman" w:hAnsi="Times New Roman"/>
          <w:szCs w:val="24"/>
        </w:rPr>
        <w:t xml:space="preserve"> </w:t>
      </w:r>
      <w:proofErr w:type="spellStart"/>
      <w:r w:rsidRPr="00FE5BD0">
        <w:rPr>
          <w:rFonts w:ascii="Times New Roman" w:hAnsi="Times New Roman"/>
          <w:szCs w:val="24"/>
        </w:rPr>
        <w:t>Isoprime</w:t>
      </w:r>
      <w:proofErr w:type="spellEnd"/>
      <w:r w:rsidRPr="00FE5BD0">
        <w:rPr>
          <w:rFonts w:ascii="Times New Roman" w:hAnsi="Times New Roman"/>
          <w:szCs w:val="24"/>
        </w:rPr>
        <w:t xml:space="preserve"> (</w:t>
      </w:r>
      <w:proofErr w:type="spellStart"/>
      <w:r w:rsidRPr="00FE5BD0">
        <w:rPr>
          <w:rFonts w:ascii="Times New Roman" w:hAnsi="Times New Roman"/>
          <w:szCs w:val="24"/>
        </w:rPr>
        <w:t>Elementar</w:t>
      </w:r>
      <w:proofErr w:type="spellEnd"/>
      <w:r w:rsidRPr="00FE5BD0">
        <w:rPr>
          <w:rFonts w:ascii="Times New Roman" w:hAnsi="Times New Roman"/>
          <w:szCs w:val="24"/>
        </w:rPr>
        <w:t xml:space="preserve"> Group) continuous flow stable isotope mass spectrometer (CF-IRMS) that is primarily used for measuring stable </w:t>
      </w:r>
      <w:r w:rsidRPr="00FE5BD0">
        <w:rPr>
          <w:rFonts w:ascii="Times New Roman" w:hAnsi="Times New Roman"/>
          <w:szCs w:val="24"/>
        </w:rPr>
        <w:lastRenderedPageBreak/>
        <w:t xml:space="preserve">isotopes of carbon in methane. </w:t>
      </w:r>
      <w:r>
        <w:rPr>
          <w:rFonts w:ascii="Times New Roman" w:hAnsi="Times New Roman"/>
          <w:szCs w:val="24"/>
        </w:rPr>
        <w:t xml:space="preserve"> The methods used are described in detail in </w:t>
      </w:r>
      <w:r w:rsidRPr="00877D6A">
        <w:rPr>
          <w:rFonts w:ascii="Times New Roman" w:hAnsi="Times New Roman"/>
          <w:b/>
          <w:szCs w:val="24"/>
        </w:rPr>
        <w:t>Miller et al. (2002).</w:t>
      </w:r>
      <w:r>
        <w:rPr>
          <w:rFonts w:ascii="Times New Roman" w:hAnsi="Times New Roman"/>
          <w:b/>
          <w:szCs w:val="24"/>
        </w:rPr>
        <w:t xml:space="preserve">  </w:t>
      </w:r>
      <w:r>
        <w:rPr>
          <w:rFonts w:ascii="Times New Roman" w:hAnsi="Times New Roman"/>
          <w:szCs w:val="24"/>
        </w:rPr>
        <w:t xml:space="preserve">Sample analysis can be </w:t>
      </w:r>
      <w:r w:rsidRPr="00FE5BD0">
        <w:rPr>
          <w:rFonts w:ascii="Times New Roman" w:hAnsi="Times New Roman"/>
          <w:szCs w:val="24"/>
        </w:rPr>
        <w:t xml:space="preserve">summarized in a few general steps: methane </w:t>
      </w:r>
      <w:r>
        <w:rPr>
          <w:rFonts w:ascii="Times New Roman" w:hAnsi="Times New Roman"/>
          <w:szCs w:val="24"/>
        </w:rPr>
        <w:t xml:space="preserve">extraction and pre-concentration; </w:t>
      </w:r>
      <w:proofErr w:type="spellStart"/>
      <w:r>
        <w:rPr>
          <w:rFonts w:ascii="Times New Roman" w:hAnsi="Times New Roman"/>
          <w:szCs w:val="24"/>
        </w:rPr>
        <w:t>cryo</w:t>
      </w:r>
      <w:proofErr w:type="spellEnd"/>
      <w:r>
        <w:rPr>
          <w:rFonts w:ascii="Times New Roman" w:hAnsi="Times New Roman"/>
          <w:szCs w:val="24"/>
        </w:rPr>
        <w:t>-focusing; chromatographic separation; combustion</w:t>
      </w:r>
      <w:r w:rsidR="007636C5">
        <w:rPr>
          <w:rFonts w:ascii="Times New Roman" w:hAnsi="Times New Roman"/>
          <w:szCs w:val="24"/>
        </w:rPr>
        <w:t xml:space="preserve"> and drying</w:t>
      </w:r>
      <w:r>
        <w:rPr>
          <w:rFonts w:ascii="Times New Roman" w:hAnsi="Times New Roman"/>
          <w:szCs w:val="24"/>
        </w:rPr>
        <w:t>;</w:t>
      </w:r>
      <w:r w:rsidRPr="00FE5BD0">
        <w:rPr>
          <w:rFonts w:ascii="Times New Roman" w:hAnsi="Times New Roman"/>
          <w:szCs w:val="24"/>
        </w:rPr>
        <w:t xml:space="preserve"> </w:t>
      </w:r>
      <w:r>
        <w:rPr>
          <w:rFonts w:ascii="Times New Roman" w:hAnsi="Times New Roman"/>
          <w:szCs w:val="24"/>
        </w:rPr>
        <w:t>and continuous flow mass spectrometric analysis</w:t>
      </w:r>
      <w:r w:rsidRPr="00FE5BD0">
        <w:rPr>
          <w:rFonts w:ascii="Times New Roman" w:hAnsi="Times New Roman"/>
          <w:szCs w:val="24"/>
        </w:rPr>
        <w:t>. Samples from cylinders are introduced the same way reference and trap tank</w:t>
      </w:r>
      <w:r w:rsidR="00166AE1">
        <w:rPr>
          <w:rFonts w:ascii="Times New Roman" w:hAnsi="Times New Roman"/>
          <w:szCs w:val="24"/>
        </w:rPr>
        <w:t xml:space="preserve"> (see below)</w:t>
      </w:r>
      <w:r w:rsidRPr="00FE5BD0">
        <w:rPr>
          <w:rFonts w:ascii="Times New Roman" w:hAnsi="Times New Roman"/>
          <w:szCs w:val="24"/>
        </w:rPr>
        <w:t xml:space="preserve"> air is introduced into the system. </w:t>
      </w:r>
    </w:p>
    <w:p w14:paraId="405A9699" w14:textId="357E2131" w:rsidR="00877D6A" w:rsidRDefault="00877D6A" w:rsidP="00877D6A">
      <w:pPr>
        <w:jc w:val="both"/>
      </w:pPr>
      <w:r>
        <w:tab/>
      </w:r>
      <w:r w:rsidR="003E0859">
        <w:t xml:space="preserve">All isotopic measurements expressed here for </w:t>
      </w:r>
      <w:r w:rsidR="003E0859">
        <w:rPr>
          <w:vertAlign w:val="superscript"/>
        </w:rPr>
        <w:t>13</w:t>
      </w:r>
      <w:r w:rsidR="003E0859">
        <w:t>C/</w:t>
      </w:r>
      <w:r w:rsidR="003E0859">
        <w:rPr>
          <w:vertAlign w:val="superscript"/>
        </w:rPr>
        <w:t>12</w:t>
      </w:r>
      <w:r w:rsidR="003E0859">
        <w:t xml:space="preserve">C are in delta notation </w:t>
      </w:r>
      <w:r w:rsidR="003E0859">
        <w:sym w:font="Symbol" w:char="F064"/>
      </w:r>
      <w:r w:rsidR="003E0859">
        <w:rPr>
          <w:vertAlign w:val="superscript"/>
        </w:rPr>
        <w:t>13</w:t>
      </w:r>
      <w:r w:rsidR="003E0859">
        <w:t xml:space="preserve">C, which is defined as the part per thousand deviation of the </w:t>
      </w:r>
      <w:r w:rsidR="003E0859">
        <w:rPr>
          <w:vertAlign w:val="superscript"/>
        </w:rPr>
        <w:t>13</w:t>
      </w:r>
      <w:r w:rsidR="003E0859">
        <w:t>C/</w:t>
      </w:r>
      <w:r w:rsidR="003E0859">
        <w:rPr>
          <w:vertAlign w:val="superscript"/>
        </w:rPr>
        <w:t>12</w:t>
      </w:r>
      <w:r w:rsidR="003E0859">
        <w:t>C ratio in a sample to that in a standard</w:t>
      </w:r>
    </w:p>
    <w:p w14:paraId="03C12DD5" w14:textId="77777777" w:rsidR="003E0859" w:rsidRDefault="003E0859" w:rsidP="00877D6A">
      <w:pPr>
        <w:spacing w:line="360" w:lineRule="auto"/>
        <w:ind w:right="-90"/>
        <w:jc w:val="center"/>
      </w:pPr>
      <w:r>
        <w:sym w:font="Symbol" w:char="F064"/>
      </w:r>
      <w:r>
        <w:rPr>
          <w:vertAlign w:val="superscript"/>
        </w:rPr>
        <w:t>13</w:t>
      </w:r>
      <w:r>
        <w:t xml:space="preserve">C </w:t>
      </w:r>
      <w:r>
        <w:sym w:font="Symbol" w:char="F0BA"/>
      </w:r>
      <w:r>
        <w:t xml:space="preserve"> [(</w:t>
      </w:r>
      <w:proofErr w:type="spellStart"/>
      <w:r>
        <w:t>R</w:t>
      </w:r>
      <w:r>
        <w:rPr>
          <w:vertAlign w:val="subscript"/>
        </w:rPr>
        <w:t>sample</w:t>
      </w:r>
      <w:proofErr w:type="spellEnd"/>
      <w:r>
        <w:t>/</w:t>
      </w:r>
      <w:proofErr w:type="spellStart"/>
      <w:r>
        <w:t>R</w:t>
      </w:r>
      <w:r>
        <w:rPr>
          <w:vertAlign w:val="subscript"/>
        </w:rPr>
        <w:t>reference</w:t>
      </w:r>
      <w:proofErr w:type="spellEnd"/>
      <w:r>
        <w:t>)-1] x1000 ‰</w:t>
      </w:r>
    </w:p>
    <w:p w14:paraId="7F603700" w14:textId="77777777" w:rsidR="008B46DA" w:rsidRDefault="003E0859" w:rsidP="00877D6A">
      <w:pPr>
        <w:jc w:val="both"/>
      </w:pPr>
      <w:proofErr w:type="gramStart"/>
      <w:r>
        <w:t>where</w:t>
      </w:r>
      <w:proofErr w:type="gramEnd"/>
      <w:r>
        <w:t xml:space="preserve"> R=</w:t>
      </w:r>
      <w:r>
        <w:rPr>
          <w:vertAlign w:val="superscript"/>
        </w:rPr>
        <w:t>13</w:t>
      </w:r>
      <w:r>
        <w:t>C/</w:t>
      </w:r>
      <w:r>
        <w:rPr>
          <w:vertAlign w:val="superscript"/>
        </w:rPr>
        <w:t>12</w:t>
      </w:r>
      <w:r>
        <w:t xml:space="preserve">C and reference is V-PDB </w:t>
      </w:r>
      <w:r w:rsidR="005E220B">
        <w:fldChar w:fldCharType="begin"/>
      </w:r>
      <w:r w:rsidR="005E220B">
        <w:instrText xml:space="preserve"> ADDIN ENRfu </w:instrText>
      </w:r>
      <w:r w:rsidR="005E220B">
        <w:fldChar w:fldCharType="separate"/>
      </w:r>
      <w:r>
        <w:t>[</w:t>
      </w:r>
      <w:r>
        <w:rPr>
          <w:i/>
        </w:rPr>
        <w:t>Craig</w:t>
      </w:r>
      <w:r>
        <w:t>, 1957]</w:t>
      </w:r>
      <w:r w:rsidR="005E220B">
        <w:fldChar w:fldCharType="end"/>
      </w:r>
      <w:r>
        <w:t xml:space="preserve">. The scale used is set using international standards NBS-19 and NBS-20 for carbonates.  </w:t>
      </w:r>
    </w:p>
    <w:p w14:paraId="0009EFF5" w14:textId="2B9E93A0" w:rsidR="00877D6A" w:rsidRDefault="00877D6A" w:rsidP="00877D6A">
      <w:pPr>
        <w:ind w:right="-86" w:firstLine="720"/>
        <w:jc w:val="both"/>
      </w:pPr>
      <w:r>
        <w:t xml:space="preserve">The procedure for </w:t>
      </w:r>
      <w:r w:rsidR="00494979">
        <w:t>measur</w:t>
      </w:r>
      <w:r w:rsidR="004E3A4E">
        <w:t>ing</w:t>
      </w:r>
      <w:r w:rsidR="009750B2">
        <w:t xml:space="preserve"> </w:t>
      </w:r>
      <w:r>
        <w:t>tanks is to analyze at least three sets of five extractions that are performed over a period of several weeks</w:t>
      </w:r>
      <w:r w:rsidR="002013A1">
        <w:t xml:space="preserve"> to check for drift in the isotopic value.</w:t>
      </w:r>
      <w:r>
        <w:t xml:space="preserve"> Typically, the first values from a newly filled tank are rejected. The precisions for </w:t>
      </w:r>
      <w:r>
        <w:rPr>
          <w:rFonts w:ascii="Symbol" w:hAnsi="Symbol"/>
        </w:rPr>
        <w:t></w:t>
      </w:r>
      <w:r>
        <w:rPr>
          <w:vertAlign w:val="superscript"/>
        </w:rPr>
        <w:t>13</w:t>
      </w:r>
      <w:r>
        <w:t>C quoted with your tank are standard errors calculated from these analyses. The value reported is the unweighted mean</w:t>
      </w:r>
      <w:r w:rsidR="002623F1">
        <w:t xml:space="preserve"> of all retained analyses.</w:t>
      </w:r>
    </w:p>
    <w:p w14:paraId="750C9866" w14:textId="14FE2258" w:rsidR="00877D6A" w:rsidRDefault="00877D6A" w:rsidP="00877D6A">
      <w:pPr>
        <w:ind w:right="-86" w:firstLine="720"/>
        <w:jc w:val="both"/>
      </w:pPr>
      <w:r w:rsidRPr="009A05CC">
        <w:t>Daily instrument runs include measurements from a cylinder</w:t>
      </w:r>
      <w:r w:rsidR="00801105">
        <w:t>, treated as an unknown,</w:t>
      </w:r>
      <w:r w:rsidRPr="009A05CC">
        <w:t xml:space="preserve"> whose isotope value is known:  this "trap" tank alerts us to any problems with the mass spectrometer or extraction system. We also use this cylinder to calculate uncertainty, which we define as the standard deviation of ten </w:t>
      </w:r>
      <w:r w:rsidR="00CD2DC2">
        <w:t>analyses</w:t>
      </w:r>
      <w:r w:rsidRPr="009A05CC">
        <w:t xml:space="preserve"> of trap measurements. </w:t>
      </w:r>
      <w:r w:rsidR="00CD2DC2">
        <w:t>Typically</w:t>
      </w:r>
      <w:r w:rsidR="00CD2DC2" w:rsidRPr="009A05CC">
        <w:t xml:space="preserve"> </w:t>
      </w:r>
      <w:r>
        <w:t xml:space="preserve">we measure </w:t>
      </w:r>
      <w:r w:rsidRPr="009A05CC">
        <w:t xml:space="preserve">four trap samples per day, of which all but the first are used (due to known irregularities caused by the tank regulator). For each </w:t>
      </w:r>
      <w:r w:rsidR="00CD2DC2">
        <w:t>set of analyses</w:t>
      </w:r>
      <w:r w:rsidRPr="009A05CC">
        <w:t>, the uncertainty is calculated fr</w:t>
      </w:r>
      <w:r>
        <w:t>om the trap data from that run.</w:t>
      </w:r>
      <w:r w:rsidRPr="009A05CC">
        <w:t xml:space="preserve"> </w:t>
      </w:r>
    </w:p>
    <w:p w14:paraId="29A61703" w14:textId="77777777" w:rsidR="00877D6A" w:rsidRDefault="00877D6A" w:rsidP="00877D6A">
      <w:pPr>
        <w:ind w:right="-86" w:firstLine="720"/>
        <w:jc w:val="both"/>
      </w:pPr>
    </w:p>
    <w:p w14:paraId="58A3B44A" w14:textId="6290B410" w:rsidR="00877D6A" w:rsidRPr="008B46DA" w:rsidRDefault="00877D6A" w:rsidP="00877D6A">
      <w:pPr>
        <w:jc w:val="both"/>
        <w:rPr>
          <w:i/>
        </w:rPr>
      </w:pPr>
      <w:r>
        <w:rPr>
          <w:i/>
        </w:rPr>
        <w:t>Measurement Scale</w:t>
      </w:r>
    </w:p>
    <w:p w14:paraId="67C1E4E0" w14:textId="77777777" w:rsidR="00877D6A" w:rsidRDefault="00877D6A" w:rsidP="00877D6A">
      <w:pPr>
        <w:ind w:right="-86" w:firstLine="720"/>
        <w:jc w:val="both"/>
      </w:pPr>
    </w:p>
    <w:p w14:paraId="6401AEA5" w14:textId="0A6314E5" w:rsidR="00031371" w:rsidRDefault="00031371" w:rsidP="00031371">
      <w:pPr>
        <w:jc w:val="both"/>
      </w:pPr>
      <w:r>
        <w:tab/>
      </w:r>
      <w:r w:rsidR="00877D6A">
        <w:t xml:space="preserve">Cylinders of compressed whole-air that have isotopic </w:t>
      </w:r>
      <w:r w:rsidR="00877D6A">
        <w:sym w:font="Symbol" w:char="F064"/>
      </w:r>
      <w:r w:rsidR="00877D6A">
        <w:rPr>
          <w:vertAlign w:val="superscript"/>
        </w:rPr>
        <w:t>13</w:t>
      </w:r>
      <w:r w:rsidR="00877D6A">
        <w:t>C values assigned to them can be used as sec</w:t>
      </w:r>
      <w:r w:rsidR="003249A0">
        <w:t xml:space="preserve">ondary standards for </w:t>
      </w:r>
      <w:r w:rsidR="00877D6A">
        <w:t>environmental measurement applications</w:t>
      </w:r>
      <w:r w:rsidR="00883168">
        <w:t xml:space="preserve">. </w:t>
      </w:r>
      <w:r w:rsidR="00877D6A">
        <w:t>By far the most demanding</w:t>
      </w:r>
      <w:r w:rsidR="003249A0">
        <w:t xml:space="preserve"> application </w:t>
      </w:r>
      <w:r w:rsidR="00877D6A">
        <w:t xml:space="preserve">is tracking modern-day changes in atmospheric methane </w:t>
      </w:r>
      <w:r w:rsidR="00883168">
        <w:t xml:space="preserve">as </w:t>
      </w:r>
      <w:r>
        <w:t>differences a</w:t>
      </w:r>
      <w:r w:rsidR="003249A0">
        <w:t>re</w:t>
      </w:r>
      <w:r>
        <w:t xml:space="preserve"> quite small, and </w:t>
      </w:r>
      <w:r w:rsidR="00883168">
        <w:t xml:space="preserve">stability of the </w:t>
      </w:r>
      <w:r>
        <w:t xml:space="preserve">long-term calibration is important. </w:t>
      </w:r>
      <w:r w:rsidR="003249A0">
        <w:t>Consequently</w:t>
      </w:r>
      <w:r>
        <w:t>, measuring stable isotopes in CH</w:t>
      </w:r>
      <w:r w:rsidRPr="00F07633">
        <w:rPr>
          <w:vertAlign w:val="subscript"/>
        </w:rPr>
        <w:t>4</w:t>
      </w:r>
      <w:r>
        <w:t xml:space="preserve"> with the precision needed for atmospheric CH</w:t>
      </w:r>
      <w:r w:rsidRPr="00031371">
        <w:rPr>
          <w:vertAlign w:val="subscript"/>
        </w:rPr>
        <w:t>4</w:t>
      </w:r>
      <w:r w:rsidR="003249A0">
        <w:t xml:space="preserve"> </w:t>
      </w:r>
      <w:r>
        <w:t xml:space="preserve">budgeting is difficult and only performed by a few laboratories worldwide. The large difference between atmospheric </w:t>
      </w:r>
      <w:r>
        <w:sym w:font="Symbol" w:char="F064"/>
      </w:r>
      <w:r>
        <w:rPr>
          <w:vertAlign w:val="superscript"/>
        </w:rPr>
        <w:t>13</w:t>
      </w:r>
      <w:r w:rsidR="003249A0">
        <w:t>C</w:t>
      </w:r>
      <w:r>
        <w:t>-CH</w:t>
      </w:r>
      <w:r w:rsidRPr="00F07633">
        <w:rPr>
          <w:vertAlign w:val="subscript"/>
        </w:rPr>
        <w:t>4</w:t>
      </w:r>
      <w:r>
        <w:t xml:space="preserve"> (approximately -47%) and the primary </w:t>
      </w:r>
      <w:r w:rsidRPr="006E2A7C">
        <w:rPr>
          <w:rFonts w:ascii="Symbol" w:hAnsi="Symbol"/>
        </w:rPr>
        <w:t></w:t>
      </w:r>
      <w:r w:rsidRPr="006E2A7C">
        <w:rPr>
          <w:vertAlign w:val="superscript"/>
        </w:rPr>
        <w:t>13</w:t>
      </w:r>
      <w:r>
        <w:t xml:space="preserve">C </w:t>
      </w:r>
      <w:proofErr w:type="gramStart"/>
      <w:r>
        <w:t>standard  (</w:t>
      </w:r>
      <w:proofErr w:type="gramEnd"/>
      <w:r>
        <w:t>NBS-19, 1.95%) places stringent requirements on a laboratory’s ability to maintain the integrity of an internal calibration scale over decades</w:t>
      </w:r>
      <w:r w:rsidR="003249A0">
        <w:t xml:space="preserve">.   Given this large difference between carbon reference materials and atmospheric values, ties to primary reference materials can vary, and slight offsets have been observed between </w:t>
      </w:r>
      <w:r w:rsidR="000E039D">
        <w:t xml:space="preserve">the principal </w:t>
      </w:r>
      <w:r w:rsidR="003249A0">
        <w:t xml:space="preserve">laboratories making these measurements.  Without </w:t>
      </w:r>
      <w:r>
        <w:t xml:space="preserve">inter-laboratory comparisons, crucial for quality control, interpretation of combined </w:t>
      </w:r>
      <w:r>
        <w:sym w:font="Symbol" w:char="F064"/>
      </w:r>
      <w:r>
        <w:rPr>
          <w:vertAlign w:val="superscript"/>
        </w:rPr>
        <w:t>13</w:t>
      </w:r>
      <w:r>
        <w:t>C -</w:t>
      </w:r>
      <w:r w:rsidRPr="00F07633">
        <w:t xml:space="preserve"> </w:t>
      </w:r>
      <w:r>
        <w:t>CH</w:t>
      </w:r>
      <w:r w:rsidRPr="00F07633">
        <w:rPr>
          <w:vertAlign w:val="subscript"/>
        </w:rPr>
        <w:t>4</w:t>
      </w:r>
      <w:r>
        <w:t xml:space="preserve"> records from different laboratories in modeling studies may yield wrong conclusions (Levin et al., 2012). Efforts to further tighten this link are ongoing with a handful of international labs</w:t>
      </w:r>
      <w:r w:rsidR="003249A0">
        <w:t>, including INSTAAR</w:t>
      </w:r>
      <w:r>
        <w:t xml:space="preserve">.  </w:t>
      </w:r>
    </w:p>
    <w:p w14:paraId="3D63BE49" w14:textId="2B4F842A" w:rsidR="00C44CF3" w:rsidRDefault="003249A0" w:rsidP="00C44CF3">
      <w:pPr>
        <w:ind w:firstLine="720"/>
        <w:jc w:val="both"/>
      </w:pPr>
      <w:r>
        <w:t xml:space="preserve">For reasons described </w:t>
      </w:r>
      <w:r w:rsidR="00A83E0F">
        <w:t>above</w:t>
      </w:r>
      <w:r>
        <w:t xml:space="preserve">, </w:t>
      </w:r>
      <w:r w:rsidR="00A83E0F">
        <w:t>we cannot claim that our scale is any more accurately tied to primary reference materials than other labs. However, o</w:t>
      </w:r>
      <w:r w:rsidR="00877D6A">
        <w:t xml:space="preserve">ur scale </w:t>
      </w:r>
      <w:r w:rsidR="00A83E0F">
        <w:t>along with several other key labs</w:t>
      </w:r>
      <w:r w:rsidR="000C7F0E" w:rsidRPr="000C7F0E">
        <w:rPr>
          <w:rFonts w:ascii="Times New Roman" w:hAnsi="Times New Roman"/>
          <w:szCs w:val="24"/>
        </w:rPr>
        <w:t xml:space="preserve"> </w:t>
      </w:r>
      <w:r w:rsidR="000C7F0E">
        <w:rPr>
          <w:rFonts w:ascii="Times New Roman" w:hAnsi="Times New Roman"/>
          <w:szCs w:val="24"/>
        </w:rPr>
        <w:t>has</w:t>
      </w:r>
      <w:r w:rsidR="000C7F0E" w:rsidRPr="00FE5BD0">
        <w:rPr>
          <w:rFonts w:ascii="Times New Roman" w:hAnsi="Times New Roman"/>
          <w:szCs w:val="24"/>
        </w:rPr>
        <w:t xml:space="preserve"> been </w:t>
      </w:r>
      <w:r w:rsidR="006A730B">
        <w:rPr>
          <w:rFonts w:ascii="Times New Roman" w:hAnsi="Times New Roman"/>
          <w:szCs w:val="24"/>
        </w:rPr>
        <w:t>linked</w:t>
      </w:r>
      <w:r w:rsidR="00877D6A">
        <w:t xml:space="preserve"> to the V-PDB scale via Dr. Stanley Tyler at </w:t>
      </w:r>
      <w:r w:rsidR="00A83E0F" w:rsidRPr="00FE5BD0">
        <w:rPr>
          <w:rFonts w:ascii="Times New Roman" w:hAnsi="Times New Roman"/>
          <w:szCs w:val="24"/>
        </w:rPr>
        <w:t xml:space="preserve">University of </w:t>
      </w:r>
      <w:r w:rsidR="00A83E0F" w:rsidRPr="00FE5BD0">
        <w:rPr>
          <w:rFonts w:ascii="Times New Roman" w:hAnsi="Times New Roman"/>
          <w:szCs w:val="24"/>
        </w:rPr>
        <w:lastRenderedPageBreak/>
        <w:t>California</w:t>
      </w:r>
      <w:r w:rsidR="00877D6A">
        <w:t xml:space="preserve"> Irvine, </w:t>
      </w:r>
      <w:r w:rsidR="000C7F0E" w:rsidRPr="00FE5BD0">
        <w:rPr>
          <w:rFonts w:ascii="Times New Roman" w:hAnsi="Times New Roman"/>
          <w:szCs w:val="24"/>
        </w:rPr>
        <w:t>using traditional, dual-inlet, off-line techniques</w:t>
      </w:r>
      <w:r w:rsidR="000C7F0E">
        <w:rPr>
          <w:rFonts w:ascii="Times New Roman" w:hAnsi="Times New Roman"/>
          <w:szCs w:val="24"/>
        </w:rPr>
        <w:t xml:space="preserve"> </w:t>
      </w:r>
      <w:r w:rsidR="000C7F0E" w:rsidRPr="00FE5BD0">
        <w:rPr>
          <w:rFonts w:ascii="Times New Roman" w:hAnsi="Times New Roman"/>
          <w:szCs w:val="24"/>
        </w:rPr>
        <w:t xml:space="preserve">based on that of Stevens and Rust </w:t>
      </w:r>
      <w:r w:rsidR="000C7F0E" w:rsidRPr="00FE5BD0">
        <w:rPr>
          <w:rFonts w:ascii="Times New Roman" w:hAnsi="Times New Roman"/>
          <w:szCs w:val="24"/>
        </w:rPr>
        <w:fldChar w:fldCharType="begin">
          <w:fldData xml:space="preserve">NABGADcANAAwADAARQBEADAAMAA5AEMAQQAzADYAOAA1ADYAMQAwADAAMAAwADgAMwAyAEMARgA2
ADUANgBFADcAMgA2ADYAMAAwADMAQgBEADAAQgBEADEAMQAwADEAOAA2AEMAMQBCADYAMAAyADAA
MAAwADAAMAAwADIANgAwAEQAQwBDADgAQgA5ADUAMAAyADAAMAAwADAAMAAwADIANwA1AEIAMgAw
ADIAQwAyADAAMwAxADMAOQAzADgAMwAyADIAMAAyADMAMwA2ADMAMAAzAEIAMgAwADQAQwA2AEYA
NwA3ADYANQAyAEMAMgAwADMAMQAzADkAMwA5ADMAMQAzAEIAMgAwADUANAA3ADkANgBDADYANQA3
ADIAMgBDADIAMAAzADEAMwA5ADMAOAAzADYANQBEADAAMAAwAEMAMAAwADAAMAAwADAA
</w:fldData>
        </w:fldChar>
      </w:r>
      <w:r w:rsidR="000C7F0E" w:rsidRPr="00FE5BD0">
        <w:rPr>
          <w:rFonts w:ascii="Times New Roman" w:hAnsi="Times New Roman"/>
          <w:szCs w:val="24"/>
        </w:rPr>
        <w:instrText xml:space="preserve"> ADDIN ENRfu </w:instrText>
      </w:r>
      <w:r w:rsidR="000C7F0E" w:rsidRPr="00FE5BD0">
        <w:rPr>
          <w:rFonts w:ascii="Times New Roman" w:hAnsi="Times New Roman"/>
          <w:szCs w:val="24"/>
        </w:rPr>
      </w:r>
      <w:r w:rsidR="000C7F0E" w:rsidRPr="00FE5BD0">
        <w:rPr>
          <w:rFonts w:ascii="Times New Roman" w:hAnsi="Times New Roman"/>
          <w:szCs w:val="24"/>
        </w:rPr>
        <w:fldChar w:fldCharType="separate"/>
      </w:r>
      <w:r w:rsidR="000C7F0E" w:rsidRPr="00FE5BD0">
        <w:rPr>
          <w:rFonts w:ascii="Times New Roman" w:hAnsi="Times New Roman"/>
          <w:szCs w:val="24"/>
        </w:rPr>
        <w:t xml:space="preserve">[1982; </w:t>
      </w:r>
      <w:r w:rsidR="000C7F0E" w:rsidRPr="00FE5BD0">
        <w:rPr>
          <w:rFonts w:ascii="Times New Roman" w:hAnsi="Times New Roman"/>
          <w:i/>
          <w:szCs w:val="24"/>
        </w:rPr>
        <w:t>Tyler</w:t>
      </w:r>
      <w:r w:rsidR="000C7F0E" w:rsidRPr="00FE5BD0">
        <w:rPr>
          <w:rFonts w:ascii="Times New Roman" w:hAnsi="Times New Roman"/>
          <w:szCs w:val="24"/>
        </w:rPr>
        <w:t xml:space="preserve">, 1986; </w:t>
      </w:r>
      <w:r w:rsidR="000C7F0E" w:rsidRPr="00FE5BD0">
        <w:rPr>
          <w:rFonts w:ascii="Times New Roman" w:hAnsi="Times New Roman"/>
          <w:i/>
          <w:szCs w:val="24"/>
        </w:rPr>
        <w:t>Lowe et al.</w:t>
      </w:r>
      <w:r w:rsidR="000C7F0E" w:rsidRPr="00FE5BD0">
        <w:rPr>
          <w:rFonts w:ascii="Times New Roman" w:hAnsi="Times New Roman"/>
          <w:szCs w:val="24"/>
        </w:rPr>
        <w:t>, 1991]</w:t>
      </w:r>
      <w:r w:rsidR="000C7F0E" w:rsidRPr="00FE5BD0">
        <w:rPr>
          <w:rFonts w:ascii="Times New Roman" w:hAnsi="Times New Roman"/>
          <w:szCs w:val="24"/>
        </w:rPr>
        <w:fldChar w:fldCharType="end"/>
      </w:r>
      <w:r w:rsidR="000C7F0E" w:rsidRPr="00FE5BD0">
        <w:rPr>
          <w:rFonts w:ascii="Times New Roman" w:hAnsi="Times New Roman"/>
          <w:szCs w:val="24"/>
        </w:rPr>
        <w:t xml:space="preserve">.    </w:t>
      </w:r>
      <w:r w:rsidR="000C7F0E">
        <w:rPr>
          <w:rFonts w:ascii="Times New Roman" w:hAnsi="Times New Roman"/>
          <w:szCs w:val="24"/>
        </w:rPr>
        <w:t xml:space="preserve">We also </w:t>
      </w:r>
      <w:r w:rsidR="00877D6A">
        <w:t xml:space="preserve">use internal standards to verify that our scale has not drifted over time. </w:t>
      </w:r>
      <w:r w:rsidR="000C7F0E">
        <w:rPr>
          <w:rFonts w:ascii="Times New Roman" w:hAnsi="Times New Roman"/>
          <w:szCs w:val="24"/>
        </w:rPr>
        <w:t xml:space="preserve">At INSTAAR, </w:t>
      </w:r>
      <w:r w:rsidR="00B846AA">
        <w:rPr>
          <w:rFonts w:ascii="Times New Roman" w:hAnsi="Times New Roman"/>
          <w:szCs w:val="24"/>
        </w:rPr>
        <w:t xml:space="preserve">we maintain </w:t>
      </w:r>
      <w:r w:rsidR="000C7F0E">
        <w:rPr>
          <w:rFonts w:ascii="Times New Roman" w:hAnsi="Times New Roman"/>
          <w:szCs w:val="24"/>
        </w:rPr>
        <w:t>f</w:t>
      </w:r>
      <w:r w:rsidR="00A83E0F" w:rsidRPr="00FE5BD0">
        <w:rPr>
          <w:rFonts w:ascii="Times New Roman" w:hAnsi="Times New Roman"/>
          <w:szCs w:val="24"/>
        </w:rPr>
        <w:t>our reference</w:t>
      </w:r>
      <w:r w:rsidR="000C7F0E">
        <w:rPr>
          <w:rFonts w:ascii="Times New Roman" w:hAnsi="Times New Roman"/>
          <w:szCs w:val="24"/>
        </w:rPr>
        <w:t xml:space="preserve"> cylinders</w:t>
      </w:r>
      <w:r w:rsidR="00A83E0F" w:rsidRPr="00FE5BD0">
        <w:rPr>
          <w:rFonts w:ascii="Times New Roman" w:hAnsi="Times New Roman"/>
          <w:szCs w:val="24"/>
        </w:rPr>
        <w:t xml:space="preserve"> </w:t>
      </w:r>
      <w:r w:rsidR="00B846AA">
        <w:rPr>
          <w:rFonts w:ascii="Times New Roman" w:hAnsi="Times New Roman"/>
          <w:szCs w:val="24"/>
        </w:rPr>
        <w:t xml:space="preserve">that </w:t>
      </w:r>
      <w:r w:rsidR="00A83E0F" w:rsidRPr="00FE5BD0">
        <w:rPr>
          <w:rFonts w:ascii="Times New Roman" w:hAnsi="Times New Roman"/>
          <w:szCs w:val="24"/>
        </w:rPr>
        <w:t xml:space="preserve">have been calibrated at </w:t>
      </w:r>
      <w:r w:rsidR="00A83E0F">
        <w:rPr>
          <w:rFonts w:ascii="Times New Roman" w:hAnsi="Times New Roman"/>
          <w:szCs w:val="24"/>
        </w:rPr>
        <w:t>UC</w:t>
      </w:r>
      <w:r w:rsidR="00A83E0F" w:rsidRPr="00FE5BD0">
        <w:rPr>
          <w:rFonts w:ascii="Times New Roman" w:hAnsi="Times New Roman"/>
          <w:szCs w:val="24"/>
        </w:rPr>
        <w:t xml:space="preserve"> Irvine </w:t>
      </w:r>
      <w:r w:rsidR="000C7F0E">
        <w:rPr>
          <w:rFonts w:ascii="Times New Roman" w:hAnsi="Times New Roman"/>
          <w:szCs w:val="24"/>
        </w:rPr>
        <w:t xml:space="preserve">in this manner. </w:t>
      </w:r>
      <w:r w:rsidR="00B846AA">
        <w:rPr>
          <w:rFonts w:ascii="Times New Roman" w:hAnsi="Times New Roman"/>
          <w:szCs w:val="24"/>
        </w:rPr>
        <w:t xml:space="preserve"> The</w:t>
      </w:r>
      <w:r w:rsidR="00A83E0F" w:rsidRPr="00FE5BD0">
        <w:rPr>
          <w:rFonts w:ascii="Times New Roman" w:hAnsi="Times New Roman"/>
          <w:szCs w:val="24"/>
        </w:rPr>
        <w:t xml:space="preserve"> </w:t>
      </w:r>
      <w:r w:rsidR="00A83E0F" w:rsidRPr="00FE5BD0">
        <w:rPr>
          <w:rFonts w:ascii="Times New Roman" w:hAnsi="Times New Roman"/>
          <w:szCs w:val="24"/>
        </w:rPr>
        <w:sym w:font="Symbol" w:char="F064"/>
      </w:r>
      <w:r w:rsidR="00A83E0F" w:rsidRPr="00FE5BD0">
        <w:rPr>
          <w:rFonts w:ascii="Times New Roman" w:hAnsi="Times New Roman"/>
          <w:szCs w:val="24"/>
          <w:vertAlign w:val="superscript"/>
        </w:rPr>
        <w:t>13</w:t>
      </w:r>
      <w:r w:rsidR="00A83E0F" w:rsidRPr="00FE5BD0">
        <w:rPr>
          <w:rFonts w:ascii="Times New Roman" w:hAnsi="Times New Roman"/>
          <w:szCs w:val="24"/>
        </w:rPr>
        <w:t>CH</w:t>
      </w:r>
      <w:r w:rsidR="00A83E0F" w:rsidRPr="00FE5BD0">
        <w:rPr>
          <w:rFonts w:ascii="Times New Roman" w:hAnsi="Times New Roman"/>
          <w:szCs w:val="24"/>
          <w:vertAlign w:val="subscript"/>
        </w:rPr>
        <w:t>4</w:t>
      </w:r>
      <w:r w:rsidR="00A83E0F" w:rsidRPr="00FE5BD0">
        <w:rPr>
          <w:rFonts w:ascii="Times New Roman" w:hAnsi="Times New Roman"/>
          <w:szCs w:val="24"/>
        </w:rPr>
        <w:t xml:space="preserve"> of the</w:t>
      </w:r>
      <w:r w:rsidR="00B846AA">
        <w:rPr>
          <w:rFonts w:ascii="Times New Roman" w:hAnsi="Times New Roman"/>
          <w:szCs w:val="24"/>
        </w:rPr>
        <w:t>se whole-a</w:t>
      </w:r>
      <w:r w:rsidR="008A4389">
        <w:rPr>
          <w:rFonts w:ascii="Times New Roman" w:hAnsi="Times New Roman"/>
          <w:szCs w:val="24"/>
        </w:rPr>
        <w:t>ir</w:t>
      </w:r>
      <w:r w:rsidR="00B846AA">
        <w:rPr>
          <w:rFonts w:ascii="Times New Roman" w:hAnsi="Times New Roman"/>
          <w:szCs w:val="24"/>
        </w:rPr>
        <w:t xml:space="preserve"> reference cylinders</w:t>
      </w:r>
      <w:r w:rsidR="00A83E0F" w:rsidRPr="00FE5BD0">
        <w:rPr>
          <w:rFonts w:ascii="Times New Roman" w:hAnsi="Times New Roman"/>
          <w:szCs w:val="24"/>
        </w:rPr>
        <w:t xml:space="preserve"> was measured relative to pure CO</w:t>
      </w:r>
      <w:r w:rsidR="00A83E0F" w:rsidRPr="00FE5BD0">
        <w:rPr>
          <w:rFonts w:ascii="Times New Roman" w:hAnsi="Times New Roman"/>
          <w:szCs w:val="24"/>
          <w:vertAlign w:val="subscript"/>
        </w:rPr>
        <w:t>2</w:t>
      </w:r>
      <w:r w:rsidR="00A83E0F" w:rsidRPr="00FE5BD0">
        <w:rPr>
          <w:rFonts w:ascii="Times New Roman" w:hAnsi="Times New Roman"/>
          <w:szCs w:val="24"/>
        </w:rPr>
        <w:t xml:space="preserve"> reference gas that had been calibrated against IAEA-NZCH</w:t>
      </w:r>
      <w:r w:rsidR="000A2668">
        <w:rPr>
          <w:rFonts w:ascii="Times New Roman" w:hAnsi="Times New Roman"/>
          <w:szCs w:val="24"/>
        </w:rPr>
        <w:t>,</w:t>
      </w:r>
      <w:r w:rsidR="000A2668" w:rsidRPr="000A2668">
        <w:rPr>
          <w:rFonts w:ascii="Times New Roman" w:hAnsi="Times New Roman"/>
          <w:szCs w:val="24"/>
        </w:rPr>
        <w:t xml:space="preserve"> </w:t>
      </w:r>
      <w:r w:rsidR="000A2668">
        <w:rPr>
          <w:rFonts w:ascii="Times New Roman" w:hAnsi="Times New Roman"/>
          <w:szCs w:val="24"/>
        </w:rPr>
        <w:t xml:space="preserve">a Barium Carbonate solid standard with an isotopic value near that of atmospheric methane </w:t>
      </w:r>
      <w:r w:rsidR="000A2668" w:rsidRPr="00FE5BD0">
        <w:rPr>
          <w:rFonts w:ascii="Times New Roman" w:hAnsi="Times New Roman"/>
          <w:szCs w:val="24"/>
        </w:rPr>
        <w:fldChar w:fldCharType="begin">
          <w:fldData xml:space="preserve">RQBCADQAQwBDADEAMAAzADAAMAA4ADYAQQAzADYAOAA1ADYAMQAwADAAMAAwADgAMwAyAEMARgA2
ADUANgBFADcAMgA2ADYAMAAwADMAQgBEADAAQgBEADEAMQAwADEAOAA2AEMAMQBFADgAMAAyADAA
MAAwADAAMAAwADEAQwA1ADIAMAAzADQAMgBBADMAMAAyADAAMAAwADAAMAAwADEAQwA1AEIANwAz
ADYANQA2ADUAMgAwADYANQAyAEUANgA3ADIARQAyADAANQBDADQAQwA2AEYANwA3ADYANQAyAEMA
MgAwADMAMQAzADkAMwA5ADMAOQAyADAAMgAzADMAMQAzADkAMwA2ADUARAAwADAAMABDADAAMAAw
ADAAMAAwAA==
</w:fldData>
        </w:fldChar>
      </w:r>
      <w:r w:rsidR="000A2668" w:rsidRPr="00FE5BD0">
        <w:rPr>
          <w:rFonts w:ascii="Times New Roman" w:hAnsi="Times New Roman"/>
          <w:szCs w:val="24"/>
        </w:rPr>
        <w:instrText xml:space="preserve"> ADDIN ENRfu </w:instrText>
      </w:r>
      <w:r w:rsidR="000A2668" w:rsidRPr="00FE5BD0">
        <w:rPr>
          <w:rFonts w:ascii="Times New Roman" w:hAnsi="Times New Roman"/>
          <w:szCs w:val="24"/>
        </w:rPr>
      </w:r>
      <w:r w:rsidR="000A2668" w:rsidRPr="00FE5BD0">
        <w:rPr>
          <w:rFonts w:ascii="Times New Roman" w:hAnsi="Times New Roman"/>
          <w:szCs w:val="24"/>
        </w:rPr>
        <w:fldChar w:fldCharType="separate"/>
      </w:r>
      <w:r w:rsidR="000A2668" w:rsidRPr="00FE5BD0">
        <w:rPr>
          <w:rFonts w:ascii="Times New Roman" w:hAnsi="Times New Roman"/>
          <w:szCs w:val="24"/>
        </w:rPr>
        <w:t xml:space="preserve">[see e.g. </w:t>
      </w:r>
      <w:r w:rsidR="000A2668" w:rsidRPr="00FE5BD0">
        <w:rPr>
          <w:rFonts w:ascii="Times New Roman" w:hAnsi="Times New Roman"/>
          <w:i/>
          <w:szCs w:val="24"/>
        </w:rPr>
        <w:t>Lowe et al.</w:t>
      </w:r>
      <w:r w:rsidR="000A2668" w:rsidRPr="00FE5BD0">
        <w:rPr>
          <w:rFonts w:ascii="Times New Roman" w:hAnsi="Times New Roman"/>
          <w:szCs w:val="24"/>
        </w:rPr>
        <w:t>, 1999]</w:t>
      </w:r>
      <w:r w:rsidR="000A2668" w:rsidRPr="00FE5BD0">
        <w:rPr>
          <w:rFonts w:ascii="Times New Roman" w:hAnsi="Times New Roman"/>
          <w:szCs w:val="24"/>
        </w:rPr>
        <w:fldChar w:fldCharType="end"/>
      </w:r>
      <w:r w:rsidR="000A2668">
        <w:rPr>
          <w:rFonts w:ascii="Times New Roman" w:hAnsi="Times New Roman"/>
          <w:szCs w:val="24"/>
        </w:rPr>
        <w:t>.</w:t>
      </w:r>
      <w:r w:rsidR="00A83E0F" w:rsidRPr="00FE5BD0">
        <w:rPr>
          <w:rFonts w:ascii="Times New Roman" w:hAnsi="Times New Roman"/>
          <w:szCs w:val="24"/>
        </w:rPr>
        <w:t xml:space="preserve">  </w:t>
      </w:r>
      <w:r w:rsidR="00B846AA" w:rsidRPr="00FE5BD0">
        <w:rPr>
          <w:rFonts w:ascii="Times New Roman" w:hAnsi="Times New Roman"/>
          <w:szCs w:val="24"/>
        </w:rPr>
        <w:t>The</w:t>
      </w:r>
      <w:r w:rsidR="00B846AA">
        <w:rPr>
          <w:rFonts w:ascii="Times New Roman" w:hAnsi="Times New Roman"/>
          <w:szCs w:val="24"/>
        </w:rPr>
        <w:t xml:space="preserve">refore, the isotopic composition </w:t>
      </w:r>
      <w:r w:rsidR="00A83E0F" w:rsidRPr="00FE5BD0">
        <w:rPr>
          <w:rFonts w:ascii="Times New Roman" w:hAnsi="Times New Roman"/>
          <w:szCs w:val="24"/>
        </w:rPr>
        <w:t xml:space="preserve">of </w:t>
      </w:r>
      <w:r w:rsidR="00B846AA">
        <w:rPr>
          <w:rFonts w:ascii="Times New Roman" w:hAnsi="Times New Roman"/>
          <w:szCs w:val="24"/>
        </w:rPr>
        <w:t xml:space="preserve">any of </w:t>
      </w:r>
      <w:r w:rsidR="00A83E0F" w:rsidRPr="00FE5BD0">
        <w:rPr>
          <w:rFonts w:ascii="Times New Roman" w:hAnsi="Times New Roman"/>
          <w:szCs w:val="24"/>
        </w:rPr>
        <w:t xml:space="preserve">our samples and one additional reference air tank </w:t>
      </w:r>
      <w:r w:rsidR="00B846AA">
        <w:rPr>
          <w:rFonts w:ascii="Times New Roman" w:hAnsi="Times New Roman"/>
          <w:szCs w:val="24"/>
        </w:rPr>
        <w:t>are</w:t>
      </w:r>
      <w:r w:rsidR="00A83E0F" w:rsidRPr="00FE5BD0">
        <w:rPr>
          <w:rFonts w:ascii="Times New Roman" w:hAnsi="Times New Roman"/>
          <w:szCs w:val="24"/>
        </w:rPr>
        <w:t xml:space="preserve"> determined relative to these calibrated references</w:t>
      </w:r>
      <w:r w:rsidR="00B846AA">
        <w:rPr>
          <w:rFonts w:ascii="Times New Roman" w:hAnsi="Times New Roman"/>
          <w:szCs w:val="24"/>
        </w:rPr>
        <w:t xml:space="preserve"> in any analysis run</w:t>
      </w:r>
      <w:r w:rsidR="00A83E0F" w:rsidRPr="00FE5BD0">
        <w:rPr>
          <w:rFonts w:ascii="Times New Roman" w:hAnsi="Times New Roman"/>
          <w:szCs w:val="24"/>
        </w:rPr>
        <w:t xml:space="preserve">. </w:t>
      </w:r>
      <w:r w:rsidR="00B846AA">
        <w:rPr>
          <w:rFonts w:ascii="Times New Roman" w:hAnsi="Times New Roman"/>
          <w:szCs w:val="24"/>
        </w:rPr>
        <w:t xml:space="preserve"> </w:t>
      </w:r>
      <w:r w:rsidR="00A83E0F" w:rsidRPr="00FE5BD0">
        <w:rPr>
          <w:rFonts w:ascii="Times New Roman" w:hAnsi="Times New Roman"/>
          <w:szCs w:val="24"/>
        </w:rPr>
        <w:t xml:space="preserve">All measurements are reported relative to V-PDB </w:t>
      </w:r>
      <w:r w:rsidR="00A83E0F" w:rsidRPr="00FE5BD0">
        <w:rPr>
          <w:rFonts w:ascii="Times New Roman" w:hAnsi="Times New Roman"/>
          <w:szCs w:val="24"/>
        </w:rPr>
        <w:fldChar w:fldCharType="begin">
          <w:fldData xml:space="preserve">RQA3ADQANQA3AEIAQwA4ADAAMAA2AEMAQQAzADYAOAA1ADYAMQAwADAAMAAwADgAMwAyAEMARgA2
ADUANgBFADcAMgA2ADYAMAAwADMAQgBEADAAQgBEADEAMQAwADEAOAA2AEMAMQBFADgAMAAyADAA
MAAwADAAMAAwADAARQAwADAAMAA5ADkAQgAwADEAMAAyADAAMAAwADAAMAAwADAARgA1AEIANAAz
ADYARgA3ADAANgBDADYANQA2AEUAMgBDADIAMAAzADEAMwA5ADMAOQAzADUANQBEADAAMAAwAEMA
MAAwADAAMAAwADAA
</w:fldData>
        </w:fldChar>
      </w:r>
      <w:r w:rsidR="00A83E0F" w:rsidRPr="00FE5BD0">
        <w:rPr>
          <w:rFonts w:ascii="Times New Roman" w:hAnsi="Times New Roman"/>
          <w:szCs w:val="24"/>
        </w:rPr>
        <w:instrText xml:space="preserve"> ADDIN ENRfu </w:instrText>
      </w:r>
      <w:r w:rsidR="00A83E0F" w:rsidRPr="00FE5BD0">
        <w:rPr>
          <w:rFonts w:ascii="Times New Roman" w:hAnsi="Times New Roman"/>
          <w:szCs w:val="24"/>
        </w:rPr>
      </w:r>
      <w:r w:rsidR="00A83E0F" w:rsidRPr="00FE5BD0">
        <w:rPr>
          <w:rFonts w:ascii="Times New Roman" w:hAnsi="Times New Roman"/>
          <w:szCs w:val="24"/>
        </w:rPr>
        <w:fldChar w:fldCharType="separate"/>
      </w:r>
      <w:r w:rsidR="00A83E0F" w:rsidRPr="00FE5BD0">
        <w:rPr>
          <w:rFonts w:ascii="Times New Roman" w:hAnsi="Times New Roman"/>
          <w:szCs w:val="24"/>
        </w:rPr>
        <w:t>[</w:t>
      </w:r>
      <w:r w:rsidR="00A83E0F" w:rsidRPr="00FE5BD0">
        <w:rPr>
          <w:rFonts w:ascii="Times New Roman" w:hAnsi="Times New Roman"/>
          <w:i/>
          <w:szCs w:val="24"/>
        </w:rPr>
        <w:t>Coplen</w:t>
      </w:r>
      <w:r w:rsidR="00A83E0F" w:rsidRPr="00FE5BD0">
        <w:rPr>
          <w:rFonts w:ascii="Times New Roman" w:hAnsi="Times New Roman"/>
          <w:szCs w:val="24"/>
        </w:rPr>
        <w:t>, 1995]</w:t>
      </w:r>
      <w:r w:rsidR="00A83E0F" w:rsidRPr="00FE5BD0">
        <w:rPr>
          <w:rFonts w:ascii="Times New Roman" w:hAnsi="Times New Roman"/>
          <w:szCs w:val="24"/>
        </w:rPr>
        <w:fldChar w:fldCharType="end"/>
      </w:r>
      <w:r w:rsidR="00A83E0F" w:rsidRPr="00FE5BD0">
        <w:rPr>
          <w:rFonts w:ascii="Times New Roman" w:hAnsi="Times New Roman"/>
          <w:szCs w:val="24"/>
        </w:rPr>
        <w:t xml:space="preserve">. </w:t>
      </w:r>
      <w:r w:rsidR="00C44CF3">
        <w:t>C</w:t>
      </w:r>
      <w:r w:rsidR="00877D6A">
        <w:t xml:space="preserve">omparisons confirm that our scale is </w:t>
      </w:r>
      <w:r w:rsidR="00C44CF3">
        <w:t xml:space="preserve">very </w:t>
      </w:r>
      <w:r w:rsidR="00877D6A">
        <w:t xml:space="preserve">close to that of other international laboratories. </w:t>
      </w:r>
    </w:p>
    <w:p w14:paraId="0210F236" w14:textId="5F7787E2" w:rsidR="00877D6A" w:rsidRDefault="00C44CF3" w:rsidP="00C44CF3">
      <w:pPr>
        <w:ind w:firstLine="720"/>
        <w:jc w:val="both"/>
      </w:pPr>
      <w:r>
        <w:t xml:space="preserve">In summary, </w:t>
      </w:r>
      <w:r w:rsidR="00877D6A" w:rsidRPr="00A83E0F">
        <w:rPr>
          <w:b/>
        </w:rPr>
        <w:t xml:space="preserve">our direct tie to V-PDB scale is not </w:t>
      </w:r>
      <w:r w:rsidR="00F47031">
        <w:rPr>
          <w:b/>
        </w:rPr>
        <w:t xml:space="preserve">as </w:t>
      </w:r>
      <w:r w:rsidR="00877D6A" w:rsidRPr="00A83E0F">
        <w:rPr>
          <w:b/>
        </w:rPr>
        <w:t>robust</w:t>
      </w:r>
      <w:r w:rsidR="00F47031">
        <w:rPr>
          <w:b/>
        </w:rPr>
        <w:t xml:space="preserve"> as we believe is required</w:t>
      </w:r>
      <w:r w:rsidR="00877D6A" w:rsidRPr="00A83E0F">
        <w:rPr>
          <w:b/>
        </w:rPr>
        <w:t>, which is</w:t>
      </w:r>
      <w:r w:rsidR="00877D6A">
        <w:t xml:space="preserve"> </w:t>
      </w:r>
      <w:r w:rsidR="00877D6A" w:rsidRPr="00A83E0F">
        <w:rPr>
          <w:b/>
        </w:rPr>
        <w:t>why we offer these measurements as informational only</w:t>
      </w:r>
      <w:r w:rsidR="00175DB8">
        <w:rPr>
          <w:b/>
        </w:rPr>
        <w:t>.</w:t>
      </w:r>
      <w:r w:rsidR="00877D6A">
        <w:t xml:space="preserve"> </w:t>
      </w:r>
    </w:p>
    <w:p w14:paraId="6603B428" w14:textId="61EEFF90" w:rsidR="003E0859" w:rsidRPr="00FE5BD0" w:rsidRDefault="00877D6A" w:rsidP="00877D6A">
      <w:pPr>
        <w:jc w:val="both"/>
        <w:rPr>
          <w:rFonts w:ascii="Times New Roman" w:hAnsi="Times New Roman"/>
          <w:szCs w:val="24"/>
        </w:rPr>
      </w:pPr>
      <w:r>
        <w:rPr>
          <w:rFonts w:ascii="Times New Roman" w:hAnsi="Times New Roman"/>
          <w:szCs w:val="24"/>
        </w:rPr>
        <w:tab/>
      </w:r>
    </w:p>
    <w:p w14:paraId="4008C065" w14:textId="77777777" w:rsidR="00A83E0F" w:rsidRDefault="00A83E0F" w:rsidP="00877D6A">
      <w:pPr>
        <w:spacing w:line="360" w:lineRule="auto"/>
        <w:ind w:right="-90"/>
        <w:jc w:val="both"/>
        <w:rPr>
          <w:rFonts w:ascii="Times New Roman" w:hAnsi="Times New Roman"/>
          <w:szCs w:val="24"/>
        </w:rPr>
      </w:pPr>
    </w:p>
    <w:p w14:paraId="3D791DEF" w14:textId="77777777" w:rsidR="003E0859" w:rsidRPr="007F0CBE" w:rsidRDefault="003E0859" w:rsidP="00877D6A">
      <w:pPr>
        <w:spacing w:line="360" w:lineRule="auto"/>
        <w:ind w:right="-90"/>
        <w:jc w:val="both"/>
        <w:rPr>
          <w:i/>
        </w:rPr>
      </w:pPr>
      <w:r w:rsidRPr="007F0CBE">
        <w:rPr>
          <w:i/>
        </w:rPr>
        <w:t>Important note on regulators:</w:t>
      </w:r>
    </w:p>
    <w:p w14:paraId="037D35DE" w14:textId="0C47C0D3" w:rsidR="003E0859" w:rsidRDefault="003E0859" w:rsidP="00877D6A">
      <w:pPr>
        <w:ind w:right="-86" w:firstLine="720"/>
        <w:jc w:val="both"/>
      </w:pPr>
      <w:r>
        <w:t xml:space="preserve">There are known isotopic problems with some types of high-pressure regulators used for the cylinders.  Lower cost models that have seals made with elastomers such as Viton or butyl rubber are particularly problematic.  These materials can contaminate the standard air with compounds that contribute to masses 45 and 46.   We recommend using a high purity regulator that has a minimum of non-metallic surfaces, preferably stainless steel.  We have chosen for use on all our standards the Air Products model E11-C444A (CGA-590) stainless steel single stage regulator with </w:t>
      </w:r>
      <w:proofErr w:type="spellStart"/>
      <w:r>
        <w:t>Kel</w:t>
      </w:r>
      <w:proofErr w:type="spellEnd"/>
      <w:r>
        <w:t xml:space="preserve">-F and Teflon seals. </w:t>
      </w:r>
      <w:r w:rsidR="00A83E0F">
        <w:t>The two stage version works equally well, and both have</w:t>
      </w:r>
      <w:r>
        <w:t xml:space="preserve"> proven to be a more stable regulator</w:t>
      </w:r>
      <w:r w:rsidR="00A83E0F">
        <w:t xml:space="preserve"> than other models</w:t>
      </w:r>
      <w:r>
        <w:t>.  Single stage regulators may lack the long-term pressure stability that can be found with two stage regulators, but since very little gas is used in the analysis process for even our daily standards, the necessary adjustments of outlet pressure are infrequent.  The single stage model also has the advantage of fewer wetted parts and is more economical (~approx. $550 USD).  No doubt there are likely other brands of regulators that would also perform adequately, but are untested by our analysis process.</w:t>
      </w:r>
    </w:p>
    <w:p w14:paraId="7588494E" w14:textId="77777777" w:rsidR="003E0859" w:rsidRDefault="003E0859" w:rsidP="00877D6A">
      <w:pPr>
        <w:spacing w:line="360" w:lineRule="auto"/>
        <w:jc w:val="both"/>
        <w:rPr>
          <w:rFonts w:ascii="Times New Roman" w:hAnsi="Times New Roman"/>
          <w:szCs w:val="24"/>
        </w:rPr>
      </w:pPr>
    </w:p>
    <w:p w14:paraId="20335213" w14:textId="77777777" w:rsidR="008B3F1B" w:rsidRDefault="008B3F1B" w:rsidP="00877D6A">
      <w:pPr>
        <w:spacing w:line="360" w:lineRule="auto"/>
        <w:jc w:val="both"/>
        <w:rPr>
          <w:rFonts w:ascii="Times New Roman" w:hAnsi="Times New Roman"/>
          <w:szCs w:val="24"/>
        </w:rPr>
      </w:pPr>
    </w:p>
    <w:p w14:paraId="2B92D56F" w14:textId="77777777" w:rsidR="00BC6E21" w:rsidRDefault="00BC6E21" w:rsidP="00877D6A">
      <w:pPr>
        <w:spacing w:line="360" w:lineRule="auto"/>
        <w:jc w:val="both"/>
        <w:rPr>
          <w:rFonts w:ascii="Times New Roman" w:hAnsi="Times New Roman"/>
          <w:szCs w:val="24"/>
        </w:rPr>
      </w:pPr>
    </w:p>
    <w:p w14:paraId="3B12DF43" w14:textId="77777777" w:rsidR="00BC6E21" w:rsidRDefault="00BC6E21" w:rsidP="00877D6A">
      <w:pPr>
        <w:spacing w:line="360" w:lineRule="auto"/>
        <w:jc w:val="both"/>
        <w:rPr>
          <w:rFonts w:ascii="Times New Roman" w:hAnsi="Times New Roman"/>
          <w:szCs w:val="24"/>
        </w:rPr>
      </w:pPr>
    </w:p>
    <w:p w14:paraId="07A4D4C7" w14:textId="77777777" w:rsidR="00175DB8" w:rsidRDefault="00175DB8" w:rsidP="00877D6A">
      <w:pPr>
        <w:spacing w:line="360" w:lineRule="auto"/>
        <w:jc w:val="both"/>
        <w:rPr>
          <w:rFonts w:ascii="Times New Roman" w:hAnsi="Times New Roman"/>
          <w:szCs w:val="24"/>
        </w:rPr>
      </w:pPr>
    </w:p>
    <w:p w14:paraId="28CF1AD2" w14:textId="77777777" w:rsidR="00E705C7" w:rsidRDefault="00E705C7" w:rsidP="00877D6A">
      <w:pPr>
        <w:spacing w:line="360" w:lineRule="auto"/>
        <w:jc w:val="both"/>
        <w:rPr>
          <w:rFonts w:ascii="Times New Roman" w:hAnsi="Times New Roman"/>
          <w:szCs w:val="24"/>
        </w:rPr>
      </w:pPr>
    </w:p>
    <w:p w14:paraId="5E0BE24F" w14:textId="1BDF9CA0" w:rsidR="00BC6E21" w:rsidRDefault="00BC6E21" w:rsidP="00877D6A">
      <w:pPr>
        <w:spacing w:line="360" w:lineRule="auto"/>
        <w:jc w:val="both"/>
        <w:rPr>
          <w:rFonts w:ascii="Times New Roman" w:hAnsi="Times New Roman"/>
          <w:szCs w:val="24"/>
        </w:rPr>
      </w:pPr>
    </w:p>
    <w:p w14:paraId="6C8853E7" w14:textId="4507C472" w:rsidR="00DC4E0A" w:rsidRDefault="00DC4E0A" w:rsidP="00877D6A">
      <w:pPr>
        <w:spacing w:line="360" w:lineRule="auto"/>
        <w:jc w:val="both"/>
        <w:rPr>
          <w:rFonts w:ascii="Times New Roman" w:hAnsi="Times New Roman"/>
          <w:szCs w:val="24"/>
        </w:rPr>
      </w:pPr>
    </w:p>
    <w:p w14:paraId="5608293F" w14:textId="12233BF1" w:rsidR="00DC4E0A" w:rsidRDefault="00DC4E0A" w:rsidP="00877D6A">
      <w:pPr>
        <w:spacing w:line="360" w:lineRule="auto"/>
        <w:jc w:val="both"/>
        <w:rPr>
          <w:rFonts w:ascii="Times New Roman" w:hAnsi="Times New Roman"/>
          <w:szCs w:val="24"/>
        </w:rPr>
      </w:pPr>
    </w:p>
    <w:p w14:paraId="6CBF4F29" w14:textId="024CC418" w:rsidR="00DC4E0A" w:rsidRDefault="00DC4E0A" w:rsidP="00877D6A">
      <w:pPr>
        <w:spacing w:line="360" w:lineRule="auto"/>
        <w:jc w:val="both"/>
        <w:rPr>
          <w:rFonts w:ascii="Times New Roman" w:hAnsi="Times New Roman"/>
          <w:szCs w:val="24"/>
        </w:rPr>
      </w:pPr>
    </w:p>
    <w:p w14:paraId="560B8B48" w14:textId="13EB3CB3" w:rsidR="00DC4E0A" w:rsidRDefault="00DC4E0A" w:rsidP="00877D6A">
      <w:pPr>
        <w:spacing w:line="360" w:lineRule="auto"/>
        <w:jc w:val="both"/>
        <w:rPr>
          <w:rFonts w:ascii="Times New Roman" w:hAnsi="Times New Roman"/>
          <w:szCs w:val="24"/>
        </w:rPr>
      </w:pPr>
    </w:p>
    <w:p w14:paraId="42846CF4" w14:textId="77777777" w:rsidR="00DC4E0A" w:rsidRDefault="00DC4E0A" w:rsidP="00877D6A">
      <w:pPr>
        <w:spacing w:line="360" w:lineRule="auto"/>
        <w:jc w:val="both"/>
        <w:rPr>
          <w:rFonts w:ascii="Times New Roman" w:hAnsi="Times New Roman"/>
          <w:szCs w:val="24"/>
        </w:rPr>
      </w:pPr>
    </w:p>
    <w:p w14:paraId="0871365E" w14:textId="77777777" w:rsidR="003E0859" w:rsidRDefault="003E0859" w:rsidP="00877D6A">
      <w:pPr>
        <w:spacing w:line="360" w:lineRule="auto"/>
        <w:jc w:val="both"/>
        <w:rPr>
          <w:rFonts w:ascii="Times New Roman" w:hAnsi="Times New Roman"/>
          <w:i/>
          <w:szCs w:val="24"/>
        </w:rPr>
      </w:pPr>
      <w:r w:rsidRPr="00614B05">
        <w:rPr>
          <w:rFonts w:ascii="Times New Roman" w:hAnsi="Times New Roman"/>
          <w:i/>
          <w:szCs w:val="24"/>
        </w:rPr>
        <w:t>References:</w:t>
      </w:r>
    </w:p>
    <w:p w14:paraId="7A3F5F87" w14:textId="77777777" w:rsidR="003E0859" w:rsidRDefault="003E0859" w:rsidP="00877D6A">
      <w:pPr>
        <w:pStyle w:val="Index1"/>
        <w:jc w:val="both"/>
      </w:pPr>
    </w:p>
    <w:p w14:paraId="09219752" w14:textId="77777777" w:rsidR="003E0859" w:rsidRDefault="003E0859" w:rsidP="00877D6A">
      <w:pPr>
        <w:pStyle w:val="Index1"/>
        <w:jc w:val="both"/>
        <w:rPr>
          <w:b/>
        </w:rPr>
      </w:pPr>
      <w:proofErr w:type="spellStart"/>
      <w:r>
        <w:t>Coplen</w:t>
      </w:r>
      <w:proofErr w:type="spellEnd"/>
      <w:r>
        <w:t xml:space="preserve">, T, B, </w:t>
      </w:r>
      <w:r>
        <w:rPr>
          <w:b/>
        </w:rPr>
        <w:t>(</w:t>
      </w:r>
      <w:r>
        <w:t>1995</w:t>
      </w:r>
      <w:r>
        <w:rPr>
          <w:b/>
        </w:rPr>
        <w:t xml:space="preserve">) </w:t>
      </w:r>
      <w:r>
        <w:t xml:space="preserve">Reporting of stable carbon, hydrogen, and oxygen isotopic abundances, </w:t>
      </w:r>
      <w:proofErr w:type="gramStart"/>
      <w:r>
        <w:t xml:space="preserve">in </w:t>
      </w:r>
      <w:r>
        <w:rPr>
          <w:b/>
        </w:rPr>
        <w:t xml:space="preserve"> </w:t>
      </w:r>
      <w:r>
        <w:t>Reference</w:t>
      </w:r>
      <w:proofErr w:type="gramEnd"/>
      <w:r>
        <w:t xml:space="preserve"> and </w:t>
      </w:r>
      <w:proofErr w:type="spellStart"/>
      <w:r>
        <w:t>intercomparison</w:t>
      </w:r>
      <w:proofErr w:type="spellEnd"/>
      <w:r>
        <w:t xml:space="preserve"> materials for stable isotopes of light elements, pp. </w:t>
      </w:r>
      <w:r>
        <w:rPr>
          <w:b/>
        </w:rPr>
        <w:t xml:space="preserve"> </w:t>
      </w:r>
      <w:r>
        <w:t>31-34, International Atomic Energy Agency, Vienna, 1995.</w:t>
      </w:r>
      <w:r>
        <w:rPr>
          <w:b/>
        </w:rPr>
        <w:t xml:space="preserve">    </w:t>
      </w:r>
    </w:p>
    <w:p w14:paraId="68B6DDF5" w14:textId="77777777" w:rsidR="003E0859" w:rsidRDefault="003E0859" w:rsidP="00877D6A">
      <w:pPr>
        <w:pStyle w:val="Index1"/>
        <w:ind w:firstLine="0"/>
        <w:jc w:val="both"/>
      </w:pPr>
      <w:r>
        <w:t xml:space="preserve">  </w:t>
      </w:r>
    </w:p>
    <w:p w14:paraId="4A6DF08C" w14:textId="77777777" w:rsidR="003E0859" w:rsidRDefault="003E0859" w:rsidP="00877D6A">
      <w:pPr>
        <w:pStyle w:val="Index1"/>
        <w:jc w:val="both"/>
        <w:rPr>
          <w:b/>
        </w:rPr>
      </w:pPr>
      <w:proofErr w:type="spellStart"/>
      <w:r>
        <w:t>Coplen</w:t>
      </w:r>
      <w:proofErr w:type="spellEnd"/>
      <w:r>
        <w:t xml:space="preserve">, T.B., </w:t>
      </w:r>
      <w:r>
        <w:rPr>
          <w:b/>
        </w:rPr>
        <w:t>(</w:t>
      </w:r>
      <w:r>
        <w:t>1995</w:t>
      </w:r>
      <w:r>
        <w:rPr>
          <w:b/>
        </w:rPr>
        <w:t xml:space="preserve">) </w:t>
      </w:r>
      <w:r>
        <w:t>Discontinuance of SMOW and PDB, Nature, 375(6529), 285-285, 1995.</w:t>
      </w:r>
      <w:r>
        <w:rPr>
          <w:b/>
        </w:rPr>
        <w:t xml:space="preserve"> </w:t>
      </w:r>
    </w:p>
    <w:p w14:paraId="0688F733" w14:textId="77777777" w:rsidR="003E0859" w:rsidRPr="003E0859" w:rsidRDefault="003E0859" w:rsidP="00877D6A">
      <w:pPr>
        <w:jc w:val="both"/>
      </w:pPr>
    </w:p>
    <w:p w14:paraId="4F80054A" w14:textId="3193C3FD" w:rsidR="003E0859" w:rsidRPr="003E0859" w:rsidRDefault="003E0859" w:rsidP="00877D6A">
      <w:pPr>
        <w:pStyle w:val="Index1"/>
        <w:jc w:val="both"/>
      </w:pPr>
      <w:r w:rsidRPr="003E0859">
        <w:rPr>
          <w:bCs/>
        </w:rPr>
        <w:t xml:space="preserve">Levin, I., </w:t>
      </w:r>
      <w:proofErr w:type="spellStart"/>
      <w:r w:rsidRPr="003E0859">
        <w:rPr>
          <w:bCs/>
        </w:rPr>
        <w:t>Veidt</w:t>
      </w:r>
      <w:proofErr w:type="spellEnd"/>
      <w:r w:rsidRPr="003E0859">
        <w:rPr>
          <w:bCs/>
        </w:rPr>
        <w:t xml:space="preserve">, C., Bruce H. Vaughn, </w:t>
      </w:r>
      <w:proofErr w:type="spellStart"/>
      <w:r w:rsidRPr="003E0859">
        <w:rPr>
          <w:bCs/>
        </w:rPr>
        <w:t>Brailsford</w:t>
      </w:r>
      <w:proofErr w:type="spellEnd"/>
      <w:r w:rsidRPr="003E0859">
        <w:rPr>
          <w:bCs/>
        </w:rPr>
        <w:t xml:space="preserve">, G., Bromley, T., Heinz, R., Lowe, D., Miller, J. B., </w:t>
      </w:r>
      <w:proofErr w:type="spellStart"/>
      <w:r w:rsidRPr="003E0859">
        <w:rPr>
          <w:bCs/>
        </w:rPr>
        <w:t>Poss</w:t>
      </w:r>
      <w:proofErr w:type="spellEnd"/>
      <w:r w:rsidRPr="003E0859">
        <w:rPr>
          <w:bCs/>
        </w:rPr>
        <w:t>, C., James W. C. White, 2012:</w:t>
      </w:r>
      <w:r w:rsidRPr="003E0859">
        <w:t xml:space="preserve"> No inter-hemispheric </w:t>
      </w:r>
      <w:proofErr w:type="gramStart"/>
      <w:r w:rsidRPr="003E0859">
        <w:t>delta(</w:t>
      </w:r>
      <w:proofErr w:type="gramEnd"/>
      <w:r w:rsidRPr="003E0859">
        <w:t>CH4)-C-13 trend observed. Nature, 486(7404): E3-E4. DOI: </w:t>
      </w:r>
      <w:hyperlink r:id="rId6" w:tgtFrame="_blank" w:history="1">
        <w:r w:rsidRPr="003E0859">
          <w:rPr>
            <w:rStyle w:val="Hyperlink"/>
          </w:rPr>
          <w:t>10.1038/nature11175</w:t>
        </w:r>
      </w:hyperlink>
    </w:p>
    <w:p w14:paraId="4CCC0DAA" w14:textId="1973C5AD" w:rsidR="003E0859" w:rsidRDefault="003E0859" w:rsidP="00877D6A">
      <w:pPr>
        <w:pStyle w:val="Index1"/>
        <w:ind w:firstLine="0"/>
        <w:jc w:val="both"/>
      </w:pPr>
    </w:p>
    <w:p w14:paraId="4B3504BB" w14:textId="77777777" w:rsidR="003E0859" w:rsidRDefault="003E0859" w:rsidP="00877D6A">
      <w:pPr>
        <w:pStyle w:val="Index1"/>
        <w:jc w:val="both"/>
        <w:rPr>
          <w:b/>
        </w:rPr>
      </w:pPr>
      <w:r>
        <w:t xml:space="preserve">Lowe, D.C., C.A.M. </w:t>
      </w:r>
      <w:proofErr w:type="spellStart"/>
      <w:r>
        <w:t>Brenninkmeijer</w:t>
      </w:r>
      <w:proofErr w:type="spellEnd"/>
      <w:r>
        <w:t xml:space="preserve">, S.C. Tyler, and E.J. </w:t>
      </w:r>
      <w:proofErr w:type="spellStart"/>
      <w:r>
        <w:t>Dlugokencky</w:t>
      </w:r>
      <w:proofErr w:type="spellEnd"/>
      <w:r>
        <w:t xml:space="preserve">, (1991) Determination of </w:t>
      </w:r>
      <w:r>
        <w:rPr>
          <w:b/>
        </w:rPr>
        <w:t xml:space="preserve"> </w:t>
      </w:r>
      <w:r>
        <w:t xml:space="preserve">the Isotopic Composition of Atmospheric Methane and Its Application in the </w:t>
      </w:r>
      <w:r>
        <w:rPr>
          <w:b/>
        </w:rPr>
        <w:t xml:space="preserve"> </w:t>
      </w:r>
      <w:r>
        <w:t xml:space="preserve">Antarctic, J. </w:t>
      </w:r>
      <w:proofErr w:type="spellStart"/>
      <w:r>
        <w:t>Geophys</w:t>
      </w:r>
      <w:proofErr w:type="spellEnd"/>
      <w:r>
        <w:t>. Res., 96(D8), 15455-15467, 1991.</w:t>
      </w:r>
      <w:r>
        <w:rPr>
          <w:b/>
        </w:rPr>
        <w:t xml:space="preserve">    </w:t>
      </w:r>
    </w:p>
    <w:p w14:paraId="4C0348D5" w14:textId="77777777" w:rsidR="003E0859" w:rsidRDefault="003E0859" w:rsidP="00877D6A">
      <w:pPr>
        <w:pStyle w:val="Index1"/>
        <w:ind w:firstLine="0"/>
        <w:jc w:val="both"/>
      </w:pPr>
      <w:r>
        <w:t xml:space="preserve">  </w:t>
      </w:r>
    </w:p>
    <w:p w14:paraId="350DF77C" w14:textId="77777777" w:rsidR="003E0859" w:rsidRDefault="003E0859" w:rsidP="00877D6A">
      <w:pPr>
        <w:pStyle w:val="Index1"/>
        <w:jc w:val="both"/>
        <w:rPr>
          <w:b/>
        </w:rPr>
      </w:pPr>
      <w:r>
        <w:t xml:space="preserve">Lowe, D.C., M.R. Manning, T. Bromley, W. Allen, G. </w:t>
      </w:r>
      <w:proofErr w:type="spellStart"/>
      <w:r>
        <w:t>Brailsford</w:t>
      </w:r>
      <w:proofErr w:type="spellEnd"/>
      <w:r>
        <w:t xml:space="preserve">, D. Ferretti, A. Gomez, </w:t>
      </w:r>
      <w:r>
        <w:rPr>
          <w:b/>
        </w:rPr>
        <w:t xml:space="preserve"> </w:t>
      </w:r>
      <w:r>
        <w:t xml:space="preserve">R. </w:t>
      </w:r>
      <w:proofErr w:type="spellStart"/>
      <w:r>
        <w:t>Knobben</w:t>
      </w:r>
      <w:proofErr w:type="spellEnd"/>
      <w:r>
        <w:t xml:space="preserve">, R. Martin, M. Zhu, R. Moss, (1999) Shipboard determinations of the </w:t>
      </w:r>
      <w:r>
        <w:rPr>
          <w:b/>
        </w:rPr>
        <w:t xml:space="preserve"> </w:t>
      </w:r>
      <w:r>
        <w:t xml:space="preserve">distribution of _13C in atmospheric methane in the Pacific, J. </w:t>
      </w:r>
      <w:proofErr w:type="spellStart"/>
      <w:r>
        <w:t>Geophys</w:t>
      </w:r>
      <w:proofErr w:type="spellEnd"/>
      <w:r>
        <w:t>. Res., 104, 26</w:t>
      </w:r>
      <w:proofErr w:type="gramStart"/>
      <w:r>
        <w:t xml:space="preserve">, </w:t>
      </w:r>
      <w:r>
        <w:rPr>
          <w:b/>
        </w:rPr>
        <w:t xml:space="preserve"> </w:t>
      </w:r>
      <w:r>
        <w:t>125</w:t>
      </w:r>
      <w:proofErr w:type="gramEnd"/>
      <w:r>
        <w:t>-26, 135, 1999.</w:t>
      </w:r>
      <w:r>
        <w:rPr>
          <w:b/>
        </w:rPr>
        <w:t xml:space="preserve">    </w:t>
      </w:r>
    </w:p>
    <w:p w14:paraId="74A2AA54" w14:textId="77777777" w:rsidR="00605F09" w:rsidRPr="00605F09" w:rsidRDefault="00605F09" w:rsidP="00877D6A">
      <w:pPr>
        <w:jc w:val="both"/>
      </w:pPr>
    </w:p>
    <w:p w14:paraId="71AD4A56" w14:textId="77777777" w:rsidR="00605F09" w:rsidRPr="00605F09" w:rsidRDefault="00605F09" w:rsidP="00877D6A">
      <w:pPr>
        <w:ind w:left="720" w:hanging="720"/>
        <w:jc w:val="both"/>
      </w:pPr>
      <w:r w:rsidRPr="00605F09">
        <w:t xml:space="preserve">Miller, J. B., K. A. Mack, R. </w:t>
      </w:r>
      <w:proofErr w:type="spellStart"/>
      <w:r w:rsidRPr="00605F09">
        <w:t>Dissly</w:t>
      </w:r>
      <w:proofErr w:type="spellEnd"/>
      <w:r w:rsidRPr="00605F09">
        <w:t xml:space="preserve">, J. W. C. White, E. J. </w:t>
      </w:r>
      <w:proofErr w:type="spellStart"/>
      <w:r w:rsidRPr="00605F09">
        <w:t>Dlugokencky</w:t>
      </w:r>
      <w:proofErr w:type="spellEnd"/>
      <w:r w:rsidRPr="00605F09">
        <w:t xml:space="preserve">, and P. P. Tans (2002), Development of analytical methods and measurements of 13C/12C in atmospheric CH4 from the NOAA Climate Monitoring and Diagnostics Laboratory Global Air Sampling Network, J. </w:t>
      </w:r>
      <w:proofErr w:type="spellStart"/>
      <w:r w:rsidRPr="00605F09">
        <w:t>Geophys</w:t>
      </w:r>
      <w:proofErr w:type="spellEnd"/>
      <w:r w:rsidRPr="00605F09">
        <w:t>. Res., 107(D13), 4178, doi</w:t>
      </w:r>
      <w:proofErr w:type="gramStart"/>
      <w:r w:rsidRPr="00605F09">
        <w:t>:10.1029</w:t>
      </w:r>
      <w:proofErr w:type="gramEnd"/>
      <w:r w:rsidRPr="00605F09">
        <w:t>/2001JD000630.</w:t>
      </w:r>
    </w:p>
    <w:p w14:paraId="2DEC914B" w14:textId="77777777" w:rsidR="00605F09" w:rsidRPr="00605F09" w:rsidRDefault="00605F09" w:rsidP="00877D6A">
      <w:pPr>
        <w:jc w:val="both"/>
      </w:pPr>
    </w:p>
    <w:p w14:paraId="37A62462" w14:textId="77777777" w:rsidR="003E0859" w:rsidRDefault="003E0859" w:rsidP="00877D6A">
      <w:pPr>
        <w:pStyle w:val="Index1"/>
        <w:jc w:val="both"/>
        <w:rPr>
          <w:b/>
        </w:rPr>
      </w:pPr>
      <w:r>
        <w:t xml:space="preserve">Tyler, S.C., (1986) Stable Carbon Isotope Ratios in Atmospheric Methane and Some of </w:t>
      </w:r>
      <w:proofErr w:type="gramStart"/>
      <w:r>
        <w:t xml:space="preserve">its </w:t>
      </w:r>
      <w:r>
        <w:rPr>
          <w:b/>
        </w:rPr>
        <w:t xml:space="preserve"> </w:t>
      </w:r>
      <w:r>
        <w:t>Sources</w:t>
      </w:r>
      <w:proofErr w:type="gramEnd"/>
      <w:r>
        <w:t xml:space="preserve">, J. </w:t>
      </w:r>
      <w:proofErr w:type="spellStart"/>
      <w:r>
        <w:t>Geophys</w:t>
      </w:r>
      <w:proofErr w:type="spellEnd"/>
      <w:r>
        <w:t>. Res., 91(D12), 13,232-12,238, 1986.</w:t>
      </w:r>
      <w:r>
        <w:rPr>
          <w:b/>
        </w:rPr>
        <w:t xml:space="preserve">    </w:t>
      </w:r>
    </w:p>
    <w:p w14:paraId="7BCEA4B5" w14:textId="77777777" w:rsidR="003E0859" w:rsidRDefault="003E0859" w:rsidP="00877D6A">
      <w:pPr>
        <w:pStyle w:val="Index1"/>
        <w:spacing w:line="360" w:lineRule="auto"/>
        <w:ind w:firstLine="0"/>
        <w:jc w:val="both"/>
      </w:pPr>
      <w:r>
        <w:t xml:space="preserve">  </w:t>
      </w:r>
    </w:p>
    <w:p w14:paraId="41919D2E" w14:textId="77777777" w:rsidR="003E0859" w:rsidRDefault="003E0859" w:rsidP="00877D6A">
      <w:pPr>
        <w:spacing w:line="360" w:lineRule="auto"/>
        <w:jc w:val="both"/>
        <w:rPr>
          <w:rFonts w:ascii="Times New Roman" w:hAnsi="Times New Roman"/>
          <w:szCs w:val="24"/>
        </w:rPr>
      </w:pPr>
    </w:p>
    <w:p w14:paraId="097331B4" w14:textId="77777777" w:rsidR="008D4FF8" w:rsidRDefault="008D4FF8" w:rsidP="00877D6A">
      <w:pPr>
        <w:spacing w:line="360" w:lineRule="auto"/>
        <w:jc w:val="both"/>
        <w:rPr>
          <w:rFonts w:ascii="Times New Roman" w:hAnsi="Times New Roman"/>
          <w:szCs w:val="24"/>
        </w:rPr>
      </w:pPr>
    </w:p>
    <w:p w14:paraId="23466E2E" w14:textId="77777777" w:rsidR="008D4FF8" w:rsidRDefault="008D4FF8" w:rsidP="00877D6A">
      <w:pPr>
        <w:spacing w:line="360" w:lineRule="auto"/>
        <w:jc w:val="both"/>
        <w:rPr>
          <w:rFonts w:ascii="Times New Roman" w:hAnsi="Times New Roman"/>
          <w:szCs w:val="24"/>
        </w:rPr>
      </w:pPr>
    </w:p>
    <w:p w14:paraId="5FFD9F7E" w14:textId="77777777" w:rsidR="008D4FF8" w:rsidRDefault="008D4FF8" w:rsidP="00877D6A">
      <w:pPr>
        <w:spacing w:line="360" w:lineRule="auto"/>
        <w:jc w:val="both"/>
        <w:rPr>
          <w:rFonts w:ascii="Times New Roman" w:hAnsi="Times New Roman"/>
          <w:szCs w:val="24"/>
        </w:rPr>
      </w:pPr>
    </w:p>
    <w:p w14:paraId="1FDC9B3D" w14:textId="77777777" w:rsidR="008D4FF8" w:rsidRDefault="008D4FF8" w:rsidP="00877D6A">
      <w:pPr>
        <w:spacing w:line="360" w:lineRule="auto"/>
        <w:jc w:val="both"/>
        <w:rPr>
          <w:rFonts w:ascii="Times New Roman" w:hAnsi="Times New Roman"/>
          <w:szCs w:val="24"/>
        </w:rPr>
      </w:pPr>
    </w:p>
    <w:p w14:paraId="6D3C2D4D" w14:textId="77777777" w:rsidR="008D4FF8" w:rsidRDefault="008D4FF8" w:rsidP="00877D6A">
      <w:pPr>
        <w:spacing w:line="360" w:lineRule="auto"/>
        <w:jc w:val="both"/>
        <w:rPr>
          <w:rFonts w:ascii="Times New Roman" w:hAnsi="Times New Roman"/>
          <w:szCs w:val="24"/>
        </w:rPr>
      </w:pPr>
    </w:p>
    <w:p w14:paraId="38A2E161" w14:textId="77777777" w:rsidR="008D4FF8" w:rsidRDefault="008D4FF8" w:rsidP="00877D6A">
      <w:pPr>
        <w:spacing w:line="360" w:lineRule="auto"/>
        <w:jc w:val="both"/>
        <w:rPr>
          <w:rFonts w:ascii="Times New Roman" w:hAnsi="Times New Roman"/>
          <w:szCs w:val="24"/>
        </w:rPr>
      </w:pPr>
    </w:p>
    <w:p w14:paraId="0A47B712" w14:textId="77777777" w:rsidR="003E0859" w:rsidRDefault="003E0859" w:rsidP="00877D6A">
      <w:pPr>
        <w:spacing w:line="360" w:lineRule="auto"/>
        <w:jc w:val="both"/>
        <w:rPr>
          <w:rFonts w:ascii="Times New Roman" w:hAnsi="Times New Roman"/>
          <w:szCs w:val="24"/>
        </w:rPr>
      </w:pPr>
    </w:p>
    <w:p w14:paraId="5D1C5CD2" w14:textId="692EEFB0" w:rsidR="003E0859" w:rsidRDefault="003E0859" w:rsidP="00877D6A">
      <w:pPr>
        <w:spacing w:line="360" w:lineRule="auto"/>
        <w:jc w:val="both"/>
        <w:rPr>
          <w:rFonts w:ascii="Times New Roman" w:hAnsi="Times New Roman"/>
          <w:szCs w:val="24"/>
        </w:rPr>
      </w:pPr>
    </w:p>
    <w:p w14:paraId="2421BE81" w14:textId="77777777" w:rsidR="003E0859" w:rsidRPr="0065675A" w:rsidRDefault="003E0859" w:rsidP="003E0413">
      <w:pPr>
        <w:jc w:val="both"/>
        <w:rPr>
          <w:b/>
        </w:rPr>
      </w:pPr>
      <w:r w:rsidRPr="0065675A">
        <w:t>Any samples that had analysis problems and were determined to be non-representative of the sample were removed from calculations of the average isotope values (blue diamonds, above). In addition, the first data point for each run is always removed to allow the cylinder one ‘warm-up’.</w:t>
      </w:r>
    </w:p>
    <w:p w14:paraId="3D962904" w14:textId="77777777" w:rsidR="003E0859" w:rsidRDefault="003E0859" w:rsidP="00877D6A">
      <w:pPr>
        <w:spacing w:line="360" w:lineRule="auto"/>
        <w:jc w:val="both"/>
        <w:rPr>
          <w:rFonts w:ascii="Times New Roman" w:hAnsi="Times New Roman"/>
          <w:szCs w:val="24"/>
        </w:rPr>
      </w:pPr>
    </w:p>
    <w:p w14:paraId="44B0433D" w14:textId="77777777" w:rsidR="003E0859" w:rsidRPr="00614B05" w:rsidRDefault="003E0859" w:rsidP="00877D6A">
      <w:pPr>
        <w:spacing w:line="360" w:lineRule="auto"/>
        <w:jc w:val="both"/>
        <w:rPr>
          <w:rFonts w:ascii="Times New Roman" w:hAnsi="Times New Roman"/>
          <w:szCs w:val="24"/>
        </w:rPr>
      </w:pPr>
    </w:p>
    <w:p w14:paraId="39104B42" w14:textId="77777777" w:rsidR="00493D32" w:rsidRDefault="00493D32" w:rsidP="00877D6A">
      <w:pPr>
        <w:jc w:val="both"/>
      </w:pPr>
    </w:p>
    <w:sectPr w:rsidR="00493D32" w:rsidSect="00877D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Geneva">
    <w:altName w:val="Arial"/>
    <w:charset w:val="00"/>
    <w:family w:val="auto"/>
    <w:pitch w:val="variable"/>
    <w:sig w:usb0="E00002FF" w:usb1="5200205F" w:usb2="00A0C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59"/>
    <w:rsid w:val="00031371"/>
    <w:rsid w:val="000A2668"/>
    <w:rsid w:val="000C7F0E"/>
    <w:rsid w:val="000E039D"/>
    <w:rsid w:val="0010627A"/>
    <w:rsid w:val="00113F9F"/>
    <w:rsid w:val="00166AE1"/>
    <w:rsid w:val="00167D92"/>
    <w:rsid w:val="00175DB8"/>
    <w:rsid w:val="00191C3B"/>
    <w:rsid w:val="001B019A"/>
    <w:rsid w:val="002013A1"/>
    <w:rsid w:val="002623F1"/>
    <w:rsid w:val="003249A0"/>
    <w:rsid w:val="003E0413"/>
    <w:rsid w:val="003E0859"/>
    <w:rsid w:val="0047278A"/>
    <w:rsid w:val="00493D32"/>
    <w:rsid w:val="00494979"/>
    <w:rsid w:val="004B28DB"/>
    <w:rsid w:val="004E3A4E"/>
    <w:rsid w:val="00532EE2"/>
    <w:rsid w:val="005E220B"/>
    <w:rsid w:val="005E7E2E"/>
    <w:rsid w:val="00605F09"/>
    <w:rsid w:val="00694314"/>
    <w:rsid w:val="006A730B"/>
    <w:rsid w:val="006D482C"/>
    <w:rsid w:val="00715FFA"/>
    <w:rsid w:val="0073442B"/>
    <w:rsid w:val="007636C5"/>
    <w:rsid w:val="007F6487"/>
    <w:rsid w:val="00801105"/>
    <w:rsid w:val="00877D6A"/>
    <w:rsid w:val="00883168"/>
    <w:rsid w:val="008A4389"/>
    <w:rsid w:val="008B3F1B"/>
    <w:rsid w:val="008B46DA"/>
    <w:rsid w:val="008D4FF8"/>
    <w:rsid w:val="009750B2"/>
    <w:rsid w:val="00A74C3F"/>
    <w:rsid w:val="00A83E0F"/>
    <w:rsid w:val="00AA3F6D"/>
    <w:rsid w:val="00B618C3"/>
    <w:rsid w:val="00B846AA"/>
    <w:rsid w:val="00BC6E21"/>
    <w:rsid w:val="00C171EE"/>
    <w:rsid w:val="00C26106"/>
    <w:rsid w:val="00C44CF3"/>
    <w:rsid w:val="00CD2DC2"/>
    <w:rsid w:val="00D339E4"/>
    <w:rsid w:val="00DC4E0A"/>
    <w:rsid w:val="00E670A7"/>
    <w:rsid w:val="00E705C7"/>
    <w:rsid w:val="00ED7169"/>
    <w:rsid w:val="00F07633"/>
    <w:rsid w:val="00F153E1"/>
    <w:rsid w:val="00F47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2F55BB"/>
  <w14:defaultImageDpi w14:val="300"/>
  <w15:docId w15:val="{CB145284-D6E6-450F-A029-91B1503C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859"/>
    <w:rPr>
      <w:rFonts w:ascii="Times" w:eastAsia="Times" w:hAnsi="Times" w:cs="Times New Roman"/>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0859"/>
    <w:pPr>
      <w:ind w:right="-90"/>
      <w:jc w:val="both"/>
    </w:pPr>
  </w:style>
  <w:style w:type="character" w:customStyle="1" w:styleId="BodyTextChar">
    <w:name w:val="Body Text Char"/>
    <w:basedOn w:val="DefaultParagraphFont"/>
    <w:link w:val="BodyText"/>
    <w:rsid w:val="003E0859"/>
    <w:rPr>
      <w:rFonts w:ascii="Times" w:eastAsia="Times" w:hAnsi="Times" w:cs="Times New Roman"/>
      <w:szCs w:val="20"/>
      <w:lang w:eastAsia="es-CO"/>
    </w:rPr>
  </w:style>
  <w:style w:type="character" w:styleId="Hyperlink">
    <w:name w:val="Hyperlink"/>
    <w:rsid w:val="003E0859"/>
    <w:rPr>
      <w:color w:val="0000FF"/>
      <w:u w:val="single"/>
    </w:rPr>
  </w:style>
  <w:style w:type="paragraph" w:styleId="Index1">
    <w:name w:val="index 1"/>
    <w:basedOn w:val="Normal"/>
    <w:next w:val="Normal"/>
    <w:autoRedefine/>
    <w:semiHidden/>
    <w:rsid w:val="003E0859"/>
    <w:pPr>
      <w:ind w:left="720" w:hanging="720"/>
    </w:pPr>
    <w:rPr>
      <w:lang w:eastAsia="en-US"/>
    </w:rPr>
  </w:style>
  <w:style w:type="character" w:styleId="FollowedHyperlink">
    <w:name w:val="FollowedHyperlink"/>
    <w:basedOn w:val="DefaultParagraphFont"/>
    <w:uiPriority w:val="99"/>
    <w:semiHidden/>
    <w:unhideWhenUsed/>
    <w:rsid w:val="003E0859"/>
    <w:rPr>
      <w:color w:val="800080" w:themeColor="followedHyperlink"/>
      <w:u w:val="single"/>
    </w:rPr>
  </w:style>
  <w:style w:type="character" w:styleId="CommentReference">
    <w:name w:val="annotation reference"/>
    <w:basedOn w:val="DefaultParagraphFont"/>
    <w:uiPriority w:val="99"/>
    <w:semiHidden/>
    <w:unhideWhenUsed/>
    <w:rsid w:val="00D339E4"/>
    <w:rPr>
      <w:sz w:val="18"/>
      <w:szCs w:val="18"/>
    </w:rPr>
  </w:style>
  <w:style w:type="paragraph" w:styleId="CommentText">
    <w:name w:val="annotation text"/>
    <w:basedOn w:val="Normal"/>
    <w:link w:val="CommentTextChar"/>
    <w:uiPriority w:val="99"/>
    <w:semiHidden/>
    <w:unhideWhenUsed/>
    <w:rsid w:val="00D339E4"/>
    <w:rPr>
      <w:szCs w:val="24"/>
    </w:rPr>
  </w:style>
  <w:style w:type="character" w:customStyle="1" w:styleId="CommentTextChar">
    <w:name w:val="Comment Text Char"/>
    <w:basedOn w:val="DefaultParagraphFont"/>
    <w:link w:val="CommentText"/>
    <w:uiPriority w:val="99"/>
    <w:semiHidden/>
    <w:rsid w:val="00D339E4"/>
    <w:rPr>
      <w:rFonts w:ascii="Times" w:eastAsia="Times" w:hAnsi="Times" w:cs="Times New Roman"/>
      <w:lang w:eastAsia="es-CO"/>
    </w:rPr>
  </w:style>
  <w:style w:type="paragraph" w:styleId="CommentSubject">
    <w:name w:val="annotation subject"/>
    <w:basedOn w:val="CommentText"/>
    <w:next w:val="CommentText"/>
    <w:link w:val="CommentSubjectChar"/>
    <w:uiPriority w:val="99"/>
    <w:semiHidden/>
    <w:unhideWhenUsed/>
    <w:rsid w:val="00D339E4"/>
    <w:rPr>
      <w:b/>
      <w:bCs/>
      <w:sz w:val="20"/>
      <w:szCs w:val="20"/>
    </w:rPr>
  </w:style>
  <w:style w:type="character" w:customStyle="1" w:styleId="CommentSubjectChar">
    <w:name w:val="Comment Subject Char"/>
    <w:basedOn w:val="CommentTextChar"/>
    <w:link w:val="CommentSubject"/>
    <w:uiPriority w:val="99"/>
    <w:semiHidden/>
    <w:rsid w:val="00D339E4"/>
    <w:rPr>
      <w:rFonts w:ascii="Times" w:eastAsia="Times" w:hAnsi="Times" w:cs="Times New Roman"/>
      <w:b/>
      <w:bCs/>
      <w:sz w:val="20"/>
      <w:szCs w:val="20"/>
      <w:lang w:eastAsia="es-CO"/>
    </w:rPr>
  </w:style>
  <w:style w:type="paragraph" w:styleId="BalloonText">
    <w:name w:val="Balloon Text"/>
    <w:basedOn w:val="Normal"/>
    <w:link w:val="BalloonTextChar"/>
    <w:uiPriority w:val="99"/>
    <w:semiHidden/>
    <w:unhideWhenUsed/>
    <w:rsid w:val="00D339E4"/>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9E4"/>
    <w:rPr>
      <w:rFonts w:ascii="Lucida Grande" w:eastAsia="Times" w:hAnsi="Lucida Grande" w:cs="Times New Roman"/>
      <w:sz w:val="18"/>
      <w:szCs w:val="18"/>
      <w:lang w:eastAsia="es-CO"/>
    </w:rPr>
  </w:style>
  <w:style w:type="paragraph" w:styleId="ListParagraph">
    <w:name w:val="List Paragraph"/>
    <w:basedOn w:val="Normal"/>
    <w:uiPriority w:val="34"/>
    <w:qFormat/>
    <w:rsid w:val="00E7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64743">
      <w:bodyDiv w:val="1"/>
      <w:marLeft w:val="0"/>
      <w:marRight w:val="0"/>
      <w:marTop w:val="0"/>
      <w:marBottom w:val="0"/>
      <w:divBdr>
        <w:top w:val="none" w:sz="0" w:space="0" w:color="auto"/>
        <w:left w:val="none" w:sz="0" w:space="0" w:color="auto"/>
        <w:bottom w:val="none" w:sz="0" w:space="0" w:color="auto"/>
        <w:right w:val="none" w:sz="0" w:space="0" w:color="auto"/>
      </w:divBdr>
    </w:div>
    <w:div w:id="648091270">
      <w:bodyDiv w:val="1"/>
      <w:marLeft w:val="0"/>
      <w:marRight w:val="0"/>
      <w:marTop w:val="0"/>
      <w:marBottom w:val="0"/>
      <w:divBdr>
        <w:top w:val="none" w:sz="0" w:space="0" w:color="auto"/>
        <w:left w:val="none" w:sz="0" w:space="0" w:color="auto"/>
        <w:bottom w:val="none" w:sz="0" w:space="0" w:color="auto"/>
        <w:right w:val="none" w:sz="0" w:space="0" w:color="auto"/>
      </w:divBdr>
    </w:div>
    <w:div w:id="1018895353">
      <w:bodyDiv w:val="1"/>
      <w:marLeft w:val="0"/>
      <w:marRight w:val="0"/>
      <w:marTop w:val="0"/>
      <w:marBottom w:val="0"/>
      <w:divBdr>
        <w:top w:val="none" w:sz="0" w:space="0" w:color="auto"/>
        <w:left w:val="none" w:sz="0" w:space="0" w:color="auto"/>
        <w:bottom w:val="none" w:sz="0" w:space="0" w:color="auto"/>
        <w:right w:val="none" w:sz="0" w:space="0" w:color="auto"/>
      </w:divBdr>
    </w:div>
    <w:div w:id="1813212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38/nature11175" TargetMode="External"/><Relationship Id="rId5" Type="http://schemas.openxmlformats.org/officeDocument/2006/relationships/hyperlink" Target="mailto:bruce.vaughn@colorado.edu"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 of CO</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Vaughn</dc:creator>
  <cp:lastModifiedBy>Alyssa Johnson</cp:lastModifiedBy>
  <cp:revision>5</cp:revision>
  <dcterms:created xsi:type="dcterms:W3CDTF">2019-08-06T23:01:00Z</dcterms:created>
  <dcterms:modified xsi:type="dcterms:W3CDTF">2020-07-08T17:21:00Z</dcterms:modified>
</cp:coreProperties>
</file>