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FB5E" w14:textId="0256A913" w:rsidR="002022B4" w:rsidRPr="006573D6" w:rsidRDefault="006573D6" w:rsidP="006573D6">
      <w:pPr>
        <w:pStyle w:val="Title"/>
        <w:rPr>
          <w:sz w:val="52"/>
          <w:szCs w:val="52"/>
        </w:rPr>
      </w:pPr>
      <w:r w:rsidRPr="006573D6">
        <w:rPr>
          <w:sz w:val="52"/>
          <w:szCs w:val="52"/>
        </w:rPr>
        <w:t>Agentic implementation of 5G4Data simulator</w:t>
      </w:r>
    </w:p>
    <w:p w14:paraId="0BA2425E" w14:textId="2A79FE6B" w:rsidR="006573D6" w:rsidRDefault="006573D6">
      <w:r>
        <w:t>We need data, and we therefore want to create a 5G4Data data generation simulator that can give the INTEND project inCoord, inSustain and inExplain the necessary data foundation to make it possible to showcase how these tools could be integrated into the 5G4Data use-case.</w:t>
      </w:r>
    </w:p>
    <w:p w14:paraId="26E3096F" w14:textId="38714FDA" w:rsidR="006573D6" w:rsidRDefault="006573D6">
      <w:r>
        <w:t>We want to experiment with an agentic framework for such a simulator and preferably use European based tech while doing so. We have therefore landed on using the OpenClaw agent as the agentic framework for this work since it seems to be a good technical choice and since it is developed (as open source) in Europe.</w:t>
      </w:r>
    </w:p>
    <w:p w14:paraId="255A860C" w14:textId="295CE3A9" w:rsidR="006573D6" w:rsidRDefault="006573D6">
      <w:r>
        <w:t>The architecture for the simulator will be a set of agents that can be controlled by natural language (and structured instructions) and that will generate intents, intent status reports and intent observation reports for the 5G4Data use-case. This data will together define a digital observational twin at an intent abstraction level for the 5G4Data use-case. We will design the agents using a kernel/package approach, where the packages define the domain specific behaviour of the agent (i.e. its functionality).</w:t>
      </w:r>
    </w:p>
    <w:p w14:paraId="2761AAD7" w14:textId="7021D8B7" w:rsidR="002022B4" w:rsidRDefault="00000000">
      <w:r>
        <w:t>`OpenClawAgent` is the generic runtime kernel, while `OpenClawPackages` holds domain-specific behavior as installable packages. Instead of building a new agent codebase for each domain, teams assemble domain agents by attaching a package to the same core runtime.</w:t>
      </w:r>
    </w:p>
    <w:p w14:paraId="20F2078B" w14:textId="5D83D70B" w:rsidR="002022B4" w:rsidRDefault="00000000" w:rsidP="006573D6">
      <w:r>
        <w:t>This separation creates a clean architecture boundary</w:t>
      </w:r>
      <w:r w:rsidR="006573D6">
        <w:t>. T</w:t>
      </w:r>
      <w:r>
        <w:t>he kernel handles reusable agent mechanics (turn orchestration, model invocation, validation loops, package loading), and</w:t>
      </w:r>
      <w:r w:rsidR="006573D6">
        <w:t xml:space="preserve"> </w:t>
      </w:r>
      <w:r>
        <w:t>packages provide domain prompts, rules, workflows, and tools.</w:t>
      </w:r>
    </w:p>
    <w:p w14:paraId="78F9B19B" w14:textId="25DDB6DC" w:rsidR="002022B4" w:rsidRDefault="006573D6">
      <w:r>
        <w:t>T</w:t>
      </w:r>
      <w:r w:rsidR="00000000">
        <w:t>his separation is valuable</w:t>
      </w:r>
      <w:r>
        <w:t xml:space="preserve"> since it gives </w:t>
      </w:r>
      <w:r w:rsidR="00000000" w:rsidRPr="006573D6">
        <w:rPr>
          <w:b/>
          <w:bCs/>
        </w:rPr>
        <w:t>Faster domain onboarding</w:t>
      </w:r>
      <w:r w:rsidR="00000000">
        <w:t>: New domain agents can be created by authoring a package, not by re-implementing core orchestration.</w:t>
      </w:r>
      <w:r>
        <w:t xml:space="preserve"> </w:t>
      </w:r>
      <w:r w:rsidR="00000000" w:rsidRPr="006573D6">
        <w:rPr>
          <w:b/>
          <w:bCs/>
        </w:rPr>
        <w:t>Consistency across agents</w:t>
      </w:r>
      <w:r w:rsidR="00000000">
        <w:t>: All domain agents inherit the same runtime behavior, observability, and safety/validation patterns.</w:t>
      </w:r>
      <w:r>
        <w:t xml:space="preserve"> </w:t>
      </w:r>
      <w:r w:rsidR="00000000" w:rsidRPr="006573D6">
        <w:rPr>
          <w:b/>
          <w:bCs/>
        </w:rPr>
        <w:t>Lower maintenance cost</w:t>
      </w:r>
      <w:r w:rsidR="00000000">
        <w:t>: Core improvements happen once in `OpenClawAgent` and benefit every package-based agent.</w:t>
      </w:r>
      <w:r>
        <w:t xml:space="preserve"> </w:t>
      </w:r>
      <w:r w:rsidR="00000000" w:rsidRPr="006573D6">
        <w:rPr>
          <w:b/>
          <w:bCs/>
        </w:rPr>
        <w:t>Safer evolution</w:t>
      </w:r>
      <w:r w:rsidR="00000000">
        <w:t>: Domain logic changes remain isolated in package artifacts, reducing risk of regressions in generic runtime code.</w:t>
      </w:r>
      <w:r>
        <w:t xml:space="preserve"> </w:t>
      </w:r>
      <w:r w:rsidR="00000000" w:rsidRPr="006573D6">
        <w:rPr>
          <w:b/>
          <w:bCs/>
        </w:rPr>
        <w:t>Scalable product model</w:t>
      </w:r>
      <w:r w:rsidR="00000000">
        <w:t>: The organization can treat domains as modular products and version/distribute them independently.</w:t>
      </w:r>
    </w:p>
    <w:p w14:paraId="1E1F82B8" w14:textId="77777777" w:rsidR="002022B4" w:rsidRDefault="00000000">
      <w:r>
        <w:t>With this model, creating a domain-specific agent is primarily a packaging task: define the domain behavior in `OpenClawPackages/&lt;package-name&gt;`, load it into the kernel, and run the resulting `OpenClawAgent-&lt;package-name&gt;` instance.</w:t>
      </w:r>
    </w:p>
    <w:p w14:paraId="0946ED10" w14:textId="45BCE50C" w:rsidR="002022B4" w:rsidRDefault="002022B4" w:rsidP="006573D6"/>
    <w:sectPr w:rsidR="002022B4">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4AF67" w14:textId="77777777" w:rsidR="003A0AFC" w:rsidRDefault="003A0AFC" w:rsidP="006573D6">
      <w:pPr>
        <w:spacing w:after="0" w:line="240" w:lineRule="auto"/>
      </w:pPr>
      <w:r>
        <w:separator/>
      </w:r>
    </w:p>
  </w:endnote>
  <w:endnote w:type="continuationSeparator" w:id="0">
    <w:p w14:paraId="6AC4CC11" w14:textId="77777777" w:rsidR="003A0AFC" w:rsidRDefault="003A0AFC" w:rsidP="00657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D87D" w14:textId="77777777" w:rsidR="006573D6" w:rsidRDefault="006573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D84C" w14:textId="77777777" w:rsidR="006573D6" w:rsidRDefault="006573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86E6" w14:textId="77777777" w:rsidR="006573D6" w:rsidRDefault="00657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B7BD1" w14:textId="77777777" w:rsidR="003A0AFC" w:rsidRDefault="003A0AFC" w:rsidP="006573D6">
      <w:pPr>
        <w:spacing w:after="0" w:line="240" w:lineRule="auto"/>
      </w:pPr>
      <w:r>
        <w:separator/>
      </w:r>
    </w:p>
  </w:footnote>
  <w:footnote w:type="continuationSeparator" w:id="0">
    <w:p w14:paraId="67642CE7" w14:textId="77777777" w:rsidR="003A0AFC" w:rsidRDefault="003A0AFC" w:rsidP="006573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904EC"/>
    <w:multiLevelType w:val="multilevel"/>
    <w:tmpl w:val="000C2C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3953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022B4"/>
    <w:rsid w:val="002022B4"/>
    <w:rsid w:val="003A0AFC"/>
    <w:rsid w:val="00456DBF"/>
    <w:rsid w:val="00657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00D027"/>
  <w15:docId w15:val="{77480F9B-4B9F-084C-BFF3-94F73CE0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b/>
      <w:sz w:val="32"/>
    </w:rPr>
  </w:style>
  <w:style w:type="paragraph" w:styleId="Heading2">
    <w:name w:val="heading 2"/>
    <w:basedOn w:val="Normal"/>
    <w:uiPriority w:val="9"/>
    <w:unhideWhenUsed/>
    <w:qFormat/>
    <w:pPr>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style>
  <w:style w:type="paragraph" w:styleId="Title">
    <w:name w:val="Title"/>
    <w:basedOn w:val="Normal"/>
    <w:next w:val="Normal"/>
    <w:link w:val="TitleChar"/>
    <w:uiPriority w:val="10"/>
    <w:qFormat/>
    <w:rsid w:val="006573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3D6"/>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6573D6"/>
    <w:rPr>
      <w:color w:val="5A5A5A" w:themeColor="text1" w:themeTint="A5"/>
      <w:spacing w:val="15"/>
      <w:sz w:val="22"/>
      <w:szCs w:val="22"/>
    </w:rPr>
  </w:style>
  <w:style w:type="paragraph" w:styleId="Footer">
    <w:name w:val="footer"/>
    <w:basedOn w:val="Normal"/>
    <w:link w:val="FooterChar"/>
    <w:uiPriority w:val="99"/>
    <w:unhideWhenUsed/>
    <w:rsid w:val="00657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04d2c9-1577-460e-b668-57374a0216c3}" enabled="1" method="Standard" siteId="{1676489c-5c72-46b7-ba63-9ab90c4aad44}" contentBits="2"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Abstract OpenClaw Concept</dc:title>
  <dc:creator>Cursor Agent</dc:creator>
  <cp:lastModifiedBy>Arne Munch-Ellingsen</cp:lastModifiedBy>
  <cp:revision>2</cp:revision>
  <dcterms:created xsi:type="dcterms:W3CDTF">2026-04-27T05:32:00Z</dcterms:created>
  <dcterms:modified xsi:type="dcterms:W3CDTF">2026-04-27T05:45:00Z</dcterms:modified>
</cp:coreProperties>
</file>