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32A" w14:paraId="797684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500" w:type="dxa"/>
              <w:left w:w="300" w:type="dxa"/>
              <w:bottom w:w="500" w:type="dxa"/>
              <w:right w:w="300" w:type="dxa"/>
            </w:tcMar>
          </w:tcPr>
          <w:p w14:paraId="7ADC8303" w14:textId="77777777" w:rsidR="007B632A" w:rsidRDefault="00000000">
            <w:pPr>
              <w:spacing w:before="200" w:after="60"/>
              <w:jc w:val="center"/>
            </w:pPr>
            <w:r>
              <w:rPr>
                <w:b/>
                <w:bCs/>
                <w:color w:val="FFFFFF"/>
                <w:sz w:val="52"/>
                <w:szCs w:val="52"/>
              </w:rPr>
              <w:t>ELEVEN PRO</w:t>
            </w:r>
          </w:p>
          <w:p w14:paraId="789B05CB" w14:textId="77777777" w:rsidR="007B632A" w:rsidRDefault="00000000">
            <w:pPr>
              <w:spacing w:before="40" w:after="200"/>
              <w:jc w:val="center"/>
            </w:pPr>
            <w:r>
              <w:rPr>
                <w:i/>
                <w:iCs/>
                <w:color w:val="A8C8E8"/>
                <w:sz w:val="26"/>
                <w:szCs w:val="26"/>
              </w:rPr>
              <w:t>Tienda Deportiva de Ciclismo</w:t>
            </w:r>
          </w:p>
          <w:p w14:paraId="6E3A38C0" w14:textId="77777777" w:rsidR="007B632A" w:rsidRDefault="00000000">
            <w:pPr>
              <w:pBdr>
                <w:top w:val="single" w:sz="6" w:space="0" w:color="E8722A"/>
                <w:bottom w:val="single" w:sz="6" w:space="0" w:color="E8722A"/>
              </w:pBdr>
              <w:spacing w:before="140" w:after="140"/>
              <w:jc w:val="center"/>
            </w:pPr>
            <w:r>
              <w:rPr>
                <w:b/>
                <w:bCs/>
                <w:color w:val="FFFFFF"/>
                <w:sz w:val="36"/>
                <w:szCs w:val="36"/>
              </w:rPr>
              <w:t>INFORME DE PREDICCIÓN DE VENTAS</w:t>
            </w:r>
          </w:p>
          <w:p w14:paraId="4AA00F44" w14:textId="77777777" w:rsidR="007B632A" w:rsidRDefault="00000000">
            <w:pPr>
              <w:spacing w:before="200" w:after="80"/>
              <w:jc w:val="center"/>
            </w:pPr>
            <w:r>
              <w:rPr>
                <w:i/>
                <w:iCs/>
                <w:color w:val="C8DFF0"/>
                <w:sz w:val="22"/>
                <w:szCs w:val="22"/>
              </w:rPr>
              <w:t xml:space="preserve">Aplicación de Machine </w:t>
            </w:r>
            <w:proofErr w:type="spellStart"/>
            <w:r>
              <w:rPr>
                <w:i/>
                <w:iCs/>
                <w:color w:val="C8DFF0"/>
                <w:sz w:val="22"/>
                <w:szCs w:val="22"/>
              </w:rPr>
              <w:t>Learning</w:t>
            </w:r>
            <w:proofErr w:type="spellEnd"/>
            <w:r>
              <w:rPr>
                <w:i/>
                <w:iCs/>
                <w:color w:val="C8DFF0"/>
                <w:sz w:val="22"/>
                <w:szCs w:val="22"/>
              </w:rPr>
              <w:t xml:space="preserve"> para la Gestión de Inventario</w:t>
            </w:r>
          </w:p>
        </w:tc>
      </w:tr>
    </w:tbl>
    <w:p w14:paraId="52CF02C0" w14:textId="77777777" w:rsidR="007B632A" w:rsidRDefault="007B632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7B632A" w14:paraId="1CBB7384"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6AA973A9" w14:textId="77777777" w:rsidR="007B632A" w:rsidRDefault="00000000">
            <w:pPr>
              <w:spacing w:after="60"/>
            </w:pPr>
            <w:r>
              <w:rPr>
                <w:b/>
                <w:bCs/>
                <w:color w:val="1B3A6B"/>
              </w:rPr>
              <w:t>Equipo de trabajo</w:t>
            </w:r>
          </w:p>
          <w:p w14:paraId="01C71A87" w14:textId="77777777" w:rsidR="007B632A" w:rsidRDefault="00000000">
            <w:pPr>
              <w:spacing w:before="60" w:after="60"/>
            </w:pPr>
            <w:r>
              <w:t>Eduardo José Padilla Jaramillo</w:t>
            </w:r>
          </w:p>
          <w:p w14:paraId="4E515162" w14:textId="77777777" w:rsidR="007B632A" w:rsidRDefault="00000000">
            <w:pPr>
              <w:spacing w:before="60" w:after="60"/>
            </w:pPr>
            <w:r>
              <w:t>Gustavo Adolfo Gordillo Millán</w:t>
            </w:r>
          </w:p>
          <w:p w14:paraId="20ABFA1E" w14:textId="77777777" w:rsidR="007B632A" w:rsidRDefault="00000000">
            <w:pPr>
              <w:spacing w:before="60" w:after="60"/>
            </w:pPr>
            <w:r>
              <w:t>José Eduardo Borja</w:t>
            </w:r>
          </w:p>
          <w:p w14:paraId="00A70F65" w14:textId="77777777" w:rsidR="007B632A" w:rsidRDefault="00000000">
            <w:pPr>
              <w:spacing w:before="60" w:after="60"/>
            </w:pPr>
            <w:r>
              <w:t>Lina Marcela Zambrano Ramírez</w:t>
            </w:r>
          </w:p>
        </w:tc>
        <w:tc>
          <w:tcPr>
            <w:tcW w:w="4860" w:type="dxa"/>
            <w:tcBorders>
              <w:top w:val="none" w:sz="0" w:space="0" w:color="FFFFFF"/>
              <w:left w:val="none" w:sz="0" w:space="0" w:color="FFFFFF"/>
              <w:bottom w:val="none" w:sz="0" w:space="0" w:color="FFFFFF"/>
              <w:right w:val="none" w:sz="0" w:space="0" w:color="FFFFFF"/>
            </w:tcBorders>
            <w:tcMar>
              <w:top w:w="80" w:type="dxa"/>
              <w:left w:w="200" w:type="dxa"/>
              <w:bottom w:w="80" w:type="dxa"/>
              <w:right w:w="0" w:type="dxa"/>
            </w:tcMar>
          </w:tcPr>
          <w:p w14:paraId="2406358A" w14:textId="77777777" w:rsidR="007B632A" w:rsidRDefault="00000000">
            <w:pPr>
              <w:spacing w:after="60"/>
            </w:pPr>
            <w:r>
              <w:rPr>
                <w:b/>
                <w:bCs/>
                <w:color w:val="1B3A6B"/>
              </w:rPr>
              <w:t>Información del proyecto</w:t>
            </w:r>
          </w:p>
          <w:p w14:paraId="1D40AA2E" w14:textId="77777777" w:rsidR="007B632A" w:rsidRDefault="00000000">
            <w:pPr>
              <w:spacing w:before="60" w:after="60"/>
            </w:pPr>
            <w:r>
              <w:t>Institución: INTEP Roldanillo Valle</w:t>
            </w:r>
          </w:p>
          <w:p w14:paraId="54CD6AC8" w14:textId="77777777" w:rsidR="007B632A" w:rsidRDefault="00000000">
            <w:pPr>
              <w:spacing w:before="60" w:after="60"/>
            </w:pPr>
            <w:r>
              <w:t xml:space="preserve">Fecha: </w:t>
            </w:r>
            <w:proofErr w:type="gramStart"/>
            <w:r>
              <w:t>Abril</w:t>
            </w:r>
            <w:proofErr w:type="gramEnd"/>
            <w:r>
              <w:t xml:space="preserve"> 07 de 2026</w:t>
            </w:r>
          </w:p>
          <w:p w14:paraId="67866876" w14:textId="77777777" w:rsidR="007B632A" w:rsidRDefault="00000000">
            <w:pPr>
              <w:spacing w:before="60" w:after="60"/>
            </w:pPr>
            <w:r>
              <w:t>Período analizado: Oct 2023 – Feb 2026</w:t>
            </w:r>
          </w:p>
          <w:p w14:paraId="2A626B4F" w14:textId="77777777" w:rsidR="007B632A" w:rsidRDefault="00000000">
            <w:pPr>
              <w:spacing w:before="60" w:after="60"/>
            </w:pPr>
            <w:proofErr w:type="spellStart"/>
            <w:r>
              <w:t>Dataset</w:t>
            </w:r>
            <w:proofErr w:type="spellEnd"/>
            <w:r>
              <w:t>: 6 archivos CSV · 1,236+ registros</w:t>
            </w:r>
          </w:p>
        </w:tc>
      </w:tr>
    </w:tbl>
    <w:p w14:paraId="5E4B632C" w14:textId="77777777" w:rsidR="007B632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32A" w14:paraId="633BAD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20" w:type="dxa"/>
              <w:right w:w="180" w:type="dxa"/>
            </w:tcMar>
          </w:tcPr>
          <w:p w14:paraId="0D286F1F" w14:textId="77777777" w:rsidR="007B632A" w:rsidRDefault="00000000">
            <w:r>
              <w:rPr>
                <w:b/>
                <w:bCs/>
                <w:color w:val="FFFFFF"/>
                <w:sz w:val="24"/>
                <w:szCs w:val="24"/>
              </w:rPr>
              <w:lastRenderedPageBreak/>
              <w:t>1. Resumen Ejecutivo</w:t>
            </w:r>
          </w:p>
        </w:tc>
      </w:tr>
    </w:tbl>
    <w:p w14:paraId="037A605D" w14:textId="77777777" w:rsidR="007B632A" w:rsidRDefault="007B632A">
      <w:pPr>
        <w:spacing w:before="80" w:after="80"/>
      </w:pPr>
    </w:p>
    <w:p w14:paraId="08CF70C2" w14:textId="77777777" w:rsidR="007B632A" w:rsidRDefault="00000000">
      <w:pPr>
        <w:spacing w:before="60" w:after="60"/>
      </w:pPr>
      <w:r>
        <w:t xml:space="preserve">Eleven Pro, tienda colombiana de ropa deportiva de ciclismo, enfrentaba un problema concreto: no sabía con anticipación cuánto iba a vender, lo que generaba </w:t>
      </w:r>
      <w:proofErr w:type="spellStart"/>
      <w:r>
        <w:t>sobrestock</w:t>
      </w:r>
      <w:proofErr w:type="spellEnd"/>
      <w:r>
        <w:t xml:space="preserve"> en unos meses y desabastecimiento en otros. Para resolverlo, se analizaron más de dos años de historial de ventas (octubre 2023 a febrero 2026), incluyendo 1,236 órdenes de compra, 782 días de datos y 87 variables de negocio distribuidas en 6 bases de datos.</w:t>
      </w:r>
    </w:p>
    <w:p w14:paraId="192572F5" w14:textId="77777777" w:rsidR="007B632A" w:rsidRDefault="007B632A">
      <w:pPr>
        <w:spacing w:before="80" w:after="80"/>
      </w:pPr>
    </w:p>
    <w:p w14:paraId="4CB7E87C" w14:textId="77777777" w:rsidR="007B632A" w:rsidRDefault="00000000">
      <w:pPr>
        <w:spacing w:before="60" w:after="60"/>
      </w:pPr>
      <w:r>
        <w:t xml:space="preserve">Se evaluaron cinco modelos de predicción distintos. El modelo </w:t>
      </w:r>
      <w:proofErr w:type="spellStart"/>
      <w:r>
        <w:t>Gradient</w:t>
      </w:r>
      <w:proofErr w:type="spellEnd"/>
      <w:r>
        <w:t xml:space="preserve"> </w:t>
      </w:r>
      <w:proofErr w:type="spellStart"/>
      <w:r>
        <w:t>Boosting</w:t>
      </w:r>
      <w:proofErr w:type="spellEnd"/>
      <w:r>
        <w:t xml:space="preserve"> (un sistema de aprendizaje automático que aprende de sus propios errores progresivamente) resultó ser el más preciso: predice las ventas diarias con un error promedio de $102,064 COP, equivalente al 12.3% de las ventas activas. Explica el 93.1% de lo que ocurre en las ventas reales.</w:t>
      </w:r>
    </w:p>
    <w:p w14:paraId="465EC1D3" w14:textId="77777777" w:rsidR="007B632A" w:rsidRDefault="007B632A">
      <w:pPr>
        <w:spacing w:before="80" w:after="80"/>
      </w:pPr>
    </w:p>
    <w:p w14:paraId="3C3EA141" w14:textId="77777777" w:rsidR="007B632A" w:rsidRDefault="00000000">
      <w:pPr>
        <w:spacing w:before="60" w:after="60"/>
      </w:pPr>
      <w:r>
        <w:t>El hallazgo más importante es que el número de pedidos diarios determina el 94.8% del comportamiento de ventas. Las demás variables (día de la semana, mes, descuentos, tendencia reciente) aportan solo el 5.2% restante. Esto orienta directamente las decisiones: invertir en atraer más compradores a la tienda online tiene un impacto mucho mayor que cualquier otra palanca comercial.</w:t>
      </w:r>
    </w:p>
    <w:p w14:paraId="49BD2024" w14:textId="77777777" w:rsidR="007B632A" w:rsidRDefault="007B632A">
      <w:pPr>
        <w:spacing w:before="80" w:after="80"/>
      </w:pPr>
    </w:p>
    <w:p w14:paraId="7786E3A2" w14:textId="77777777" w:rsidR="007B632A" w:rsidRDefault="00000000">
      <w:pPr>
        <w:spacing w:before="60" w:after="60"/>
      </w:pPr>
      <w:r>
        <w:t>Se recomiendan tres acciones inmediatas: (1) usar el modelo como herramienta de planificación semanal de inventario, (2) crear un calendario de compras de stock alineado a los picos estacionales de junio, agosto y abril, y (3) reducir la tasa de devoluciones (actualmente en 10.6% promedio), que es la segunda variable más influyente en el modelo.</w:t>
      </w:r>
    </w:p>
    <w:p w14:paraId="0CD7C6E6" w14:textId="77777777" w:rsidR="007B632A" w:rsidRDefault="007B632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B632A" w14:paraId="4CA48702"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D6E4F0"/>
            <w:tcMar>
              <w:top w:w="120" w:type="dxa"/>
              <w:left w:w="150" w:type="dxa"/>
              <w:bottom w:w="120" w:type="dxa"/>
              <w:right w:w="150" w:type="dxa"/>
            </w:tcMar>
            <w:vAlign w:val="center"/>
          </w:tcPr>
          <w:p w14:paraId="4CF62192" w14:textId="77777777" w:rsidR="007B632A" w:rsidRDefault="00000000">
            <w:pPr>
              <w:jc w:val="center"/>
            </w:pPr>
            <w:r>
              <w:rPr>
                <w:b/>
                <w:bCs/>
                <w:color w:val="1B3A6B"/>
                <w:sz w:val="36"/>
                <w:szCs w:val="36"/>
              </w:rPr>
              <w:t>93.1%</w:t>
            </w:r>
          </w:p>
          <w:p w14:paraId="1972CAD6" w14:textId="77777777" w:rsidR="007B632A" w:rsidRDefault="00000000">
            <w:pPr>
              <w:jc w:val="center"/>
            </w:pPr>
            <w:r>
              <w:rPr>
                <w:b/>
                <w:bCs/>
                <w:color w:val="2E75B6"/>
                <w:sz w:val="18"/>
                <w:szCs w:val="18"/>
              </w:rPr>
              <w:t>Precisión del modelo</w:t>
            </w:r>
          </w:p>
          <w:p w14:paraId="63DC43B0" w14:textId="77777777" w:rsidR="007B632A" w:rsidRDefault="00000000">
            <w:pPr>
              <w:jc w:val="center"/>
            </w:pPr>
            <w:r>
              <w:rPr>
                <w:i/>
                <w:iCs/>
                <w:color w:val="777777"/>
                <w:sz w:val="16"/>
                <w:szCs w:val="16"/>
              </w:rPr>
              <w:t>R² en datos de prueba</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120" w:type="dxa"/>
              <w:left w:w="150" w:type="dxa"/>
              <w:bottom w:w="120" w:type="dxa"/>
              <w:right w:w="150" w:type="dxa"/>
            </w:tcMar>
            <w:vAlign w:val="center"/>
          </w:tcPr>
          <w:p w14:paraId="141DAFE0" w14:textId="77777777" w:rsidR="007B632A" w:rsidRDefault="00000000">
            <w:pPr>
              <w:jc w:val="center"/>
            </w:pPr>
            <w:r>
              <w:rPr>
                <w:b/>
                <w:bCs/>
                <w:color w:val="1B3A6B"/>
                <w:sz w:val="36"/>
                <w:szCs w:val="36"/>
              </w:rPr>
              <w:t>$102K</w:t>
            </w:r>
          </w:p>
          <w:p w14:paraId="51F0DE4B" w14:textId="77777777" w:rsidR="007B632A" w:rsidRDefault="00000000">
            <w:pPr>
              <w:jc w:val="center"/>
            </w:pPr>
            <w:r>
              <w:rPr>
                <w:b/>
                <w:bCs/>
                <w:color w:val="2E75B6"/>
                <w:sz w:val="18"/>
                <w:szCs w:val="18"/>
              </w:rPr>
              <w:t>Error diario promedio</w:t>
            </w:r>
          </w:p>
          <w:p w14:paraId="208CCCBF" w14:textId="77777777" w:rsidR="007B632A" w:rsidRDefault="00000000">
            <w:pPr>
              <w:jc w:val="center"/>
            </w:pPr>
            <w:r>
              <w:rPr>
                <w:i/>
                <w:iCs/>
                <w:color w:val="777777"/>
                <w:sz w:val="16"/>
                <w:szCs w:val="16"/>
              </w:rPr>
              <w:t>MAE en COP</w:t>
            </w:r>
          </w:p>
        </w:tc>
        <w:tc>
          <w:tcPr>
            <w:tcW w:w="2340" w:type="dxa"/>
            <w:tcBorders>
              <w:top w:val="single" w:sz="1" w:space="0" w:color="BDC3C7"/>
              <w:left w:val="single" w:sz="1" w:space="0" w:color="BDC3C7"/>
              <w:bottom w:val="single" w:sz="1" w:space="0" w:color="BDC3C7"/>
              <w:right w:val="single" w:sz="1" w:space="0" w:color="BDC3C7"/>
            </w:tcBorders>
            <w:shd w:val="clear" w:color="auto" w:fill="D6E4F0"/>
            <w:tcMar>
              <w:top w:w="120" w:type="dxa"/>
              <w:left w:w="150" w:type="dxa"/>
              <w:bottom w:w="120" w:type="dxa"/>
              <w:right w:w="150" w:type="dxa"/>
            </w:tcMar>
            <w:vAlign w:val="center"/>
          </w:tcPr>
          <w:p w14:paraId="54978BA2" w14:textId="77777777" w:rsidR="007B632A" w:rsidRDefault="00000000">
            <w:pPr>
              <w:jc w:val="center"/>
            </w:pPr>
            <w:r>
              <w:rPr>
                <w:b/>
                <w:bCs/>
                <w:color w:val="1B3A6B"/>
                <w:sz w:val="36"/>
                <w:szCs w:val="36"/>
              </w:rPr>
              <w:t>94.8%</w:t>
            </w:r>
          </w:p>
          <w:p w14:paraId="54D4B44B" w14:textId="77777777" w:rsidR="007B632A" w:rsidRDefault="00000000">
            <w:pPr>
              <w:jc w:val="center"/>
            </w:pPr>
            <w:r>
              <w:rPr>
                <w:b/>
                <w:bCs/>
                <w:color w:val="2E75B6"/>
                <w:sz w:val="18"/>
                <w:szCs w:val="18"/>
              </w:rPr>
              <w:t>Peso de "pedidos"</w:t>
            </w:r>
          </w:p>
          <w:p w14:paraId="7F159768" w14:textId="77777777" w:rsidR="007B632A" w:rsidRDefault="00000000">
            <w:pPr>
              <w:jc w:val="center"/>
            </w:pPr>
            <w:r>
              <w:rPr>
                <w:i/>
                <w:iCs/>
                <w:color w:val="777777"/>
                <w:sz w:val="16"/>
                <w:szCs w:val="16"/>
              </w:rPr>
              <w:t>en las ventas</w:t>
            </w:r>
          </w:p>
        </w:tc>
        <w:tc>
          <w:tcPr>
            <w:tcW w:w="2340" w:type="dxa"/>
            <w:tcBorders>
              <w:top w:val="single" w:sz="1" w:space="0" w:color="BDC3C7"/>
              <w:left w:val="single" w:sz="1" w:space="0" w:color="BDC3C7"/>
              <w:bottom w:val="single" w:sz="1" w:space="0" w:color="BDC3C7"/>
              <w:right w:val="single" w:sz="1" w:space="0" w:color="BDC3C7"/>
            </w:tcBorders>
            <w:shd w:val="clear" w:color="auto" w:fill="FFFFFF"/>
            <w:tcMar>
              <w:top w:w="120" w:type="dxa"/>
              <w:left w:w="150" w:type="dxa"/>
              <w:bottom w:w="120" w:type="dxa"/>
              <w:right w:w="150" w:type="dxa"/>
            </w:tcMar>
            <w:vAlign w:val="center"/>
          </w:tcPr>
          <w:p w14:paraId="7A5E5BC7" w14:textId="77777777" w:rsidR="007B632A" w:rsidRDefault="00000000">
            <w:pPr>
              <w:jc w:val="center"/>
            </w:pPr>
            <w:r>
              <w:rPr>
                <w:b/>
                <w:bCs/>
                <w:color w:val="1B3A6B"/>
                <w:sz w:val="36"/>
                <w:szCs w:val="36"/>
              </w:rPr>
              <w:t>5</w:t>
            </w:r>
          </w:p>
          <w:p w14:paraId="10F3C9D2" w14:textId="77777777" w:rsidR="007B632A" w:rsidRDefault="00000000">
            <w:pPr>
              <w:jc w:val="center"/>
            </w:pPr>
            <w:r>
              <w:rPr>
                <w:b/>
                <w:bCs/>
                <w:color w:val="2E75B6"/>
                <w:sz w:val="18"/>
                <w:szCs w:val="18"/>
              </w:rPr>
              <w:t>Modelos evaluados</w:t>
            </w:r>
          </w:p>
          <w:p w14:paraId="73923FBF" w14:textId="77777777" w:rsidR="007B632A" w:rsidRDefault="00000000">
            <w:pPr>
              <w:jc w:val="center"/>
            </w:pPr>
            <w:proofErr w:type="spellStart"/>
            <w:r>
              <w:rPr>
                <w:i/>
                <w:iCs/>
                <w:color w:val="777777"/>
                <w:sz w:val="16"/>
                <w:szCs w:val="16"/>
              </w:rPr>
              <w:t>Gradient</w:t>
            </w:r>
            <w:proofErr w:type="spellEnd"/>
            <w:r>
              <w:rPr>
                <w:i/>
                <w:iCs/>
                <w:color w:val="777777"/>
                <w:sz w:val="16"/>
                <w:szCs w:val="16"/>
              </w:rPr>
              <w:t xml:space="preserve"> </w:t>
            </w:r>
            <w:proofErr w:type="spellStart"/>
            <w:r>
              <w:rPr>
                <w:i/>
                <w:iCs/>
                <w:color w:val="777777"/>
                <w:sz w:val="16"/>
                <w:szCs w:val="16"/>
              </w:rPr>
              <w:t>Boosting</w:t>
            </w:r>
            <w:proofErr w:type="spellEnd"/>
            <w:r>
              <w:rPr>
                <w:i/>
                <w:iCs/>
                <w:color w:val="777777"/>
                <w:sz w:val="16"/>
                <w:szCs w:val="16"/>
              </w:rPr>
              <w:t xml:space="preserve"> ganó</w:t>
            </w:r>
          </w:p>
        </w:tc>
      </w:tr>
    </w:tbl>
    <w:p w14:paraId="5EDC450C" w14:textId="77777777" w:rsidR="007B632A" w:rsidRDefault="007B632A">
      <w:pPr>
        <w:spacing w:before="80" w:after="80"/>
      </w:pPr>
    </w:p>
    <w:p w14:paraId="4351B7B9" w14:textId="77777777" w:rsidR="007B632A" w:rsidRDefault="007B632A">
      <w:pPr>
        <w:pBdr>
          <w:bottom w:val="single" w:sz="4" w:space="0" w:color="2E75B6"/>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32A" w14:paraId="3737F0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20" w:type="dxa"/>
              <w:right w:w="180" w:type="dxa"/>
            </w:tcMar>
          </w:tcPr>
          <w:p w14:paraId="3102104C" w14:textId="77777777" w:rsidR="007B632A" w:rsidRDefault="00000000">
            <w:r>
              <w:rPr>
                <w:b/>
                <w:bCs/>
                <w:color w:val="FFFFFF"/>
                <w:sz w:val="24"/>
                <w:szCs w:val="24"/>
              </w:rPr>
              <w:t>2. Contexto del Negocio</w:t>
            </w:r>
          </w:p>
        </w:tc>
      </w:tr>
    </w:tbl>
    <w:p w14:paraId="7804D903" w14:textId="77777777" w:rsidR="007B632A" w:rsidRDefault="007B632A">
      <w:pPr>
        <w:spacing w:before="80" w:after="80"/>
      </w:pPr>
    </w:p>
    <w:p w14:paraId="6D0647EA" w14:textId="77777777" w:rsidR="007B632A" w:rsidRDefault="00000000">
      <w:pPr>
        <w:spacing w:before="60" w:after="60"/>
      </w:pPr>
      <w:r>
        <w:t xml:space="preserve">Eleven Pro es una tienda online de ropa deportiva especializada en ciclismo que opera principalmente a través de su plataforma Shopify. Vende </w:t>
      </w:r>
      <w:proofErr w:type="spellStart"/>
      <w:r>
        <w:t>jerseys</w:t>
      </w:r>
      <w:proofErr w:type="spellEnd"/>
      <w:r>
        <w:t xml:space="preserve">, pantalonetas, camisetas, </w:t>
      </w:r>
      <w:proofErr w:type="spellStart"/>
      <w:r>
        <w:t>enterisos</w:t>
      </w:r>
      <w:proofErr w:type="spellEnd"/>
      <w:r>
        <w:t xml:space="preserve"> y accesorios para ciclistas, con una oferta de más de 2,700 variantes de producto.</w:t>
      </w:r>
    </w:p>
    <w:p w14:paraId="2501D7B7" w14:textId="77777777" w:rsidR="007B632A" w:rsidRDefault="007B632A">
      <w:pPr>
        <w:spacing w:before="80" w:after="80"/>
      </w:pPr>
    </w:p>
    <w:p w14:paraId="52BD5D1F" w14:textId="77777777" w:rsidR="007B632A" w:rsidRDefault="00000000">
      <w:pPr>
        <w:pStyle w:val="Ttulo2"/>
        <w:spacing w:before="200" w:after="80"/>
      </w:pPr>
      <w:r>
        <w:rPr>
          <w:b/>
          <w:bCs/>
          <w:color w:val="2E75B6"/>
          <w:sz w:val="22"/>
          <w:szCs w:val="22"/>
        </w:rPr>
        <w:t>¿Cuál era el problema?</w:t>
      </w:r>
    </w:p>
    <w:p w14:paraId="45AA5FB4" w14:textId="77777777" w:rsidR="007B632A" w:rsidRDefault="00000000">
      <w:pPr>
        <w:spacing w:before="60" w:after="60"/>
      </w:pPr>
      <w:r>
        <w:t>Las decisiones sobre cuánto stock pedir, cuándo reforzar el equipo de despacho y cómo distribuir el presupuesto se tomaban "a ojo" o con promedios simples del mes anterior. Esto generaba dos problemas recurrentes:</w:t>
      </w:r>
    </w:p>
    <w:p w14:paraId="34265661" w14:textId="77777777" w:rsidR="007B632A" w:rsidRDefault="00000000">
      <w:pPr>
        <w:pStyle w:val="Prrafodelista"/>
        <w:numPr>
          <w:ilvl w:val="0"/>
          <w:numId w:val="2"/>
        </w:numPr>
        <w:spacing w:before="40" w:after="40"/>
      </w:pPr>
      <w:r>
        <w:t xml:space="preserve"> En meses de alta demanda (como junio con el Tour de Francia), la tienda se quedaba sin inventario de productos clave.</w:t>
      </w:r>
    </w:p>
    <w:p w14:paraId="3DCCA6D9" w14:textId="77777777" w:rsidR="007B632A" w:rsidRDefault="00000000">
      <w:pPr>
        <w:pStyle w:val="Prrafodelista"/>
        <w:numPr>
          <w:ilvl w:val="0"/>
          <w:numId w:val="2"/>
        </w:numPr>
        <w:spacing w:before="40" w:after="40"/>
      </w:pPr>
      <w:r>
        <w:t xml:space="preserve"> En meses de baja demanda, tenía capital inmovilizado en productos que no rotaban.</w:t>
      </w:r>
    </w:p>
    <w:p w14:paraId="6F29A3FA" w14:textId="77777777" w:rsidR="007B632A" w:rsidRDefault="007B632A">
      <w:pPr>
        <w:spacing w:before="80" w:after="80"/>
      </w:pPr>
    </w:p>
    <w:p w14:paraId="2B84A329" w14:textId="77777777" w:rsidR="007B632A" w:rsidRDefault="00000000">
      <w:pPr>
        <w:pStyle w:val="Ttulo2"/>
        <w:spacing w:before="200" w:after="80"/>
      </w:pPr>
      <w:r>
        <w:rPr>
          <w:b/>
          <w:bCs/>
          <w:color w:val="2E75B6"/>
          <w:sz w:val="22"/>
          <w:szCs w:val="22"/>
        </w:rPr>
        <w:t>¿Por qué importan los datos?</w:t>
      </w:r>
    </w:p>
    <w:p w14:paraId="1A7420C2" w14:textId="77777777" w:rsidR="007B632A" w:rsidRDefault="00000000">
      <w:pPr>
        <w:spacing w:before="60" w:after="60"/>
      </w:pPr>
      <w:r>
        <w:t>Eleven Pro tiene un perfil de cliente muy específico: el 70.3% de sus compradores usan Addi Payment (financiamiento a cuotas sin interés), el 98.2% compran a través del canal web, y las ventas tienen una estacionalidad marcada ligada al calendario ciclístico internacional. Este patrón hace que los datos históricos sean altamente predecibles cuando se analizan correctamente.</w:t>
      </w:r>
    </w:p>
    <w:p w14:paraId="7419632D" w14:textId="77777777" w:rsidR="007B632A" w:rsidRDefault="007B632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7B632A" w14:paraId="706A21BB" w14:textId="77777777">
        <w:tblPrEx>
          <w:tblCellMar>
            <w:top w:w="0" w:type="dxa"/>
            <w:bottom w:w="0" w:type="dxa"/>
          </w:tblCellMar>
        </w:tblPrEx>
        <w:tc>
          <w:tcPr>
            <w:tcW w:w="4500" w:type="dxa"/>
            <w:tcBorders>
              <w:top w:val="single" w:sz="1" w:space="0" w:color="BDC3C7"/>
              <w:left w:val="single" w:sz="1" w:space="0" w:color="BDC3C7"/>
              <w:bottom w:val="single" w:sz="1" w:space="0" w:color="BDC3C7"/>
              <w:right w:val="single" w:sz="1" w:space="0" w:color="BDC3C7"/>
            </w:tcBorders>
            <w:shd w:val="clear" w:color="auto" w:fill="1B3A6B"/>
            <w:tcMar>
              <w:top w:w="80" w:type="dxa"/>
              <w:left w:w="120" w:type="dxa"/>
              <w:bottom w:w="80" w:type="dxa"/>
              <w:right w:w="120" w:type="dxa"/>
            </w:tcMar>
          </w:tcPr>
          <w:p w14:paraId="0CFEB81A" w14:textId="77777777" w:rsidR="007B632A" w:rsidRDefault="00000000">
            <w:pPr>
              <w:jc w:val="center"/>
            </w:pPr>
            <w:r>
              <w:rPr>
                <w:b/>
                <w:bCs/>
                <w:color w:val="FFFFFF"/>
                <w:sz w:val="18"/>
                <w:szCs w:val="18"/>
              </w:rPr>
              <w:t>Dato del negocio</w:t>
            </w:r>
          </w:p>
        </w:tc>
        <w:tc>
          <w:tcPr>
            <w:tcW w:w="4860" w:type="dxa"/>
            <w:tcBorders>
              <w:top w:val="single" w:sz="1" w:space="0" w:color="BDC3C7"/>
              <w:left w:val="single" w:sz="1" w:space="0" w:color="BDC3C7"/>
              <w:bottom w:val="single" w:sz="1" w:space="0" w:color="BDC3C7"/>
              <w:right w:val="single" w:sz="1" w:space="0" w:color="BDC3C7"/>
            </w:tcBorders>
            <w:shd w:val="clear" w:color="auto" w:fill="1B3A6B"/>
            <w:tcMar>
              <w:top w:w="80" w:type="dxa"/>
              <w:left w:w="120" w:type="dxa"/>
              <w:bottom w:w="80" w:type="dxa"/>
              <w:right w:w="120" w:type="dxa"/>
            </w:tcMar>
          </w:tcPr>
          <w:p w14:paraId="22E96F93" w14:textId="77777777" w:rsidR="007B632A" w:rsidRDefault="00000000">
            <w:pPr>
              <w:jc w:val="center"/>
            </w:pPr>
            <w:r>
              <w:rPr>
                <w:b/>
                <w:bCs/>
                <w:color w:val="FFFFFF"/>
                <w:sz w:val="18"/>
                <w:szCs w:val="18"/>
              </w:rPr>
              <w:t>Valor</w:t>
            </w:r>
          </w:p>
        </w:tc>
      </w:tr>
      <w:tr w:rsidR="007B632A" w14:paraId="498C2E99" w14:textId="77777777">
        <w:tblPrEx>
          <w:tblCellMar>
            <w:top w:w="0" w:type="dxa"/>
            <w:bottom w:w="0" w:type="dxa"/>
          </w:tblCellMar>
        </w:tblPrEx>
        <w:tc>
          <w:tcPr>
            <w:tcW w:w="450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329D0024" w14:textId="77777777" w:rsidR="007B632A" w:rsidRDefault="00000000">
            <w:r>
              <w:rPr>
                <w:color w:val="000000"/>
                <w:sz w:val="18"/>
                <w:szCs w:val="18"/>
              </w:rPr>
              <w:t>Período analizado</w:t>
            </w:r>
          </w:p>
        </w:tc>
        <w:tc>
          <w:tcPr>
            <w:tcW w:w="486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4C1B2CA2" w14:textId="77777777" w:rsidR="007B632A" w:rsidRDefault="00000000">
            <w:r>
              <w:rPr>
                <w:color w:val="000000"/>
                <w:sz w:val="18"/>
                <w:szCs w:val="18"/>
              </w:rPr>
              <w:t xml:space="preserve">Octubre 2023 → </w:t>
            </w:r>
            <w:proofErr w:type="gramStart"/>
            <w:r>
              <w:rPr>
                <w:color w:val="000000"/>
                <w:sz w:val="18"/>
                <w:szCs w:val="18"/>
              </w:rPr>
              <w:t>Febrero</w:t>
            </w:r>
            <w:proofErr w:type="gramEnd"/>
            <w:r>
              <w:rPr>
                <w:color w:val="000000"/>
                <w:sz w:val="18"/>
                <w:szCs w:val="18"/>
              </w:rPr>
              <w:t xml:space="preserve"> 2026 (29 meses)</w:t>
            </w:r>
          </w:p>
        </w:tc>
      </w:tr>
      <w:tr w:rsidR="007B632A" w14:paraId="4275F385" w14:textId="77777777">
        <w:tblPrEx>
          <w:tblCellMar>
            <w:top w:w="0" w:type="dxa"/>
            <w:bottom w:w="0" w:type="dxa"/>
          </w:tblCellMar>
        </w:tblPrEx>
        <w:tc>
          <w:tcPr>
            <w:tcW w:w="4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21E48511" w14:textId="77777777" w:rsidR="007B632A" w:rsidRDefault="00000000">
            <w:proofErr w:type="gramStart"/>
            <w:r>
              <w:rPr>
                <w:color w:val="000000"/>
                <w:sz w:val="18"/>
                <w:szCs w:val="18"/>
              </w:rPr>
              <w:t>Total</w:t>
            </w:r>
            <w:proofErr w:type="gramEnd"/>
            <w:r>
              <w:rPr>
                <w:color w:val="000000"/>
                <w:sz w:val="18"/>
                <w:szCs w:val="18"/>
              </w:rPr>
              <w:t xml:space="preserve"> de órdenes procesadas</w:t>
            </w:r>
          </w:p>
        </w:tc>
        <w:tc>
          <w:tcPr>
            <w:tcW w:w="48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6D19CB7" w14:textId="77777777" w:rsidR="007B632A" w:rsidRDefault="00000000">
            <w:r>
              <w:rPr>
                <w:color w:val="000000"/>
                <w:sz w:val="18"/>
                <w:szCs w:val="18"/>
              </w:rPr>
              <w:t>1,236 órdenes de compra</w:t>
            </w:r>
          </w:p>
        </w:tc>
      </w:tr>
      <w:tr w:rsidR="007B632A" w14:paraId="0E260A73" w14:textId="77777777">
        <w:tblPrEx>
          <w:tblCellMar>
            <w:top w:w="0" w:type="dxa"/>
            <w:bottom w:w="0" w:type="dxa"/>
          </w:tblCellMar>
        </w:tblPrEx>
        <w:tc>
          <w:tcPr>
            <w:tcW w:w="450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420C0364" w14:textId="77777777" w:rsidR="007B632A" w:rsidRDefault="00000000">
            <w:r>
              <w:rPr>
                <w:color w:val="000000"/>
                <w:sz w:val="18"/>
                <w:szCs w:val="18"/>
              </w:rPr>
              <w:t>Canal de venta principal</w:t>
            </w:r>
          </w:p>
        </w:tc>
        <w:tc>
          <w:tcPr>
            <w:tcW w:w="486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61EAF781" w14:textId="77777777" w:rsidR="007B632A" w:rsidRDefault="00000000">
            <w:r>
              <w:rPr>
                <w:color w:val="000000"/>
                <w:sz w:val="18"/>
                <w:szCs w:val="18"/>
              </w:rPr>
              <w:t>Tienda online Shopify (98.2%)</w:t>
            </w:r>
          </w:p>
        </w:tc>
      </w:tr>
      <w:tr w:rsidR="007B632A" w14:paraId="6C2054B9" w14:textId="77777777">
        <w:tblPrEx>
          <w:tblCellMar>
            <w:top w:w="0" w:type="dxa"/>
            <w:bottom w:w="0" w:type="dxa"/>
          </w:tblCellMar>
        </w:tblPrEx>
        <w:tc>
          <w:tcPr>
            <w:tcW w:w="4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46B978C" w14:textId="77777777" w:rsidR="007B632A" w:rsidRDefault="00000000">
            <w:r>
              <w:rPr>
                <w:color w:val="000000"/>
                <w:sz w:val="18"/>
                <w:szCs w:val="18"/>
              </w:rPr>
              <w:t>Método de pago dominante</w:t>
            </w:r>
          </w:p>
        </w:tc>
        <w:tc>
          <w:tcPr>
            <w:tcW w:w="48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EA1B16D" w14:textId="77777777" w:rsidR="007B632A" w:rsidRDefault="00000000">
            <w:r>
              <w:rPr>
                <w:color w:val="000000"/>
                <w:sz w:val="18"/>
                <w:szCs w:val="18"/>
              </w:rPr>
              <w:t>Addi Payment — cuotas sin interés (70.3%)</w:t>
            </w:r>
          </w:p>
        </w:tc>
      </w:tr>
      <w:tr w:rsidR="007B632A" w14:paraId="50591E52" w14:textId="77777777">
        <w:tblPrEx>
          <w:tblCellMar>
            <w:top w:w="0" w:type="dxa"/>
            <w:bottom w:w="0" w:type="dxa"/>
          </w:tblCellMar>
        </w:tblPrEx>
        <w:tc>
          <w:tcPr>
            <w:tcW w:w="450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2F5F2AE7" w14:textId="77777777" w:rsidR="007B632A" w:rsidRDefault="00000000">
            <w:r>
              <w:rPr>
                <w:color w:val="000000"/>
                <w:sz w:val="18"/>
                <w:szCs w:val="18"/>
              </w:rPr>
              <w:t>Categorías principales</w:t>
            </w:r>
          </w:p>
        </w:tc>
        <w:tc>
          <w:tcPr>
            <w:tcW w:w="486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70FDB6C2" w14:textId="77777777" w:rsidR="007B632A" w:rsidRDefault="00000000">
            <w:r>
              <w:rPr>
                <w:color w:val="000000"/>
                <w:sz w:val="18"/>
                <w:szCs w:val="18"/>
              </w:rPr>
              <w:t>Jersey (29%), Pantalonetas (22%), Camisetas (21%)</w:t>
            </w:r>
          </w:p>
        </w:tc>
      </w:tr>
      <w:tr w:rsidR="007B632A" w14:paraId="11E1311B" w14:textId="77777777">
        <w:tblPrEx>
          <w:tblCellMar>
            <w:top w:w="0" w:type="dxa"/>
            <w:bottom w:w="0" w:type="dxa"/>
          </w:tblCellMar>
        </w:tblPrEx>
        <w:tc>
          <w:tcPr>
            <w:tcW w:w="4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5ED14B9" w14:textId="77777777" w:rsidR="007B632A" w:rsidRDefault="00000000">
            <w:r>
              <w:rPr>
                <w:color w:val="000000"/>
                <w:sz w:val="18"/>
                <w:szCs w:val="18"/>
              </w:rPr>
              <w:t>Ventas promedio mensual</w:t>
            </w:r>
          </w:p>
        </w:tc>
        <w:tc>
          <w:tcPr>
            <w:tcW w:w="48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340A404" w14:textId="77777777" w:rsidR="007B632A" w:rsidRDefault="00000000">
            <w:r>
              <w:rPr>
                <w:color w:val="000000"/>
                <w:sz w:val="18"/>
                <w:szCs w:val="18"/>
              </w:rPr>
              <w:t>$13.74 millones COP</w:t>
            </w:r>
          </w:p>
        </w:tc>
      </w:tr>
      <w:tr w:rsidR="007B632A" w14:paraId="22B3331A" w14:textId="77777777">
        <w:tblPrEx>
          <w:tblCellMar>
            <w:top w:w="0" w:type="dxa"/>
            <w:bottom w:w="0" w:type="dxa"/>
          </w:tblCellMar>
        </w:tblPrEx>
        <w:tc>
          <w:tcPr>
            <w:tcW w:w="450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072591D5" w14:textId="77777777" w:rsidR="007B632A" w:rsidRDefault="00000000">
            <w:r>
              <w:rPr>
                <w:color w:val="000000"/>
                <w:sz w:val="18"/>
                <w:szCs w:val="18"/>
              </w:rPr>
              <w:t>Mes de mayor venta histórica</w:t>
            </w:r>
          </w:p>
        </w:tc>
        <w:tc>
          <w:tcPr>
            <w:tcW w:w="486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4758549F" w14:textId="77777777" w:rsidR="007B632A" w:rsidRDefault="00000000">
            <w:r>
              <w:rPr>
                <w:color w:val="000000"/>
                <w:sz w:val="18"/>
                <w:szCs w:val="18"/>
              </w:rPr>
              <w:t>Junio 2024: $82 millones COP (Tour de Francia)</w:t>
            </w:r>
          </w:p>
        </w:tc>
      </w:tr>
      <w:tr w:rsidR="007B632A" w14:paraId="5E51C7A9" w14:textId="77777777">
        <w:tblPrEx>
          <w:tblCellMar>
            <w:top w:w="0" w:type="dxa"/>
            <w:bottom w:w="0" w:type="dxa"/>
          </w:tblCellMar>
        </w:tblPrEx>
        <w:tc>
          <w:tcPr>
            <w:tcW w:w="4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FBC3008" w14:textId="77777777" w:rsidR="007B632A" w:rsidRDefault="00000000">
            <w:r>
              <w:rPr>
                <w:color w:val="000000"/>
                <w:sz w:val="18"/>
                <w:szCs w:val="18"/>
              </w:rPr>
              <w:t>Tasa de devoluciones promedio</w:t>
            </w:r>
          </w:p>
        </w:tc>
        <w:tc>
          <w:tcPr>
            <w:tcW w:w="48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18B769B" w14:textId="77777777" w:rsidR="007B632A" w:rsidRDefault="00000000">
            <w:r>
              <w:rPr>
                <w:color w:val="000000"/>
                <w:sz w:val="18"/>
                <w:szCs w:val="18"/>
              </w:rPr>
              <w:t>10.64% de ventas brutas</w:t>
            </w:r>
          </w:p>
        </w:tc>
      </w:tr>
    </w:tbl>
    <w:p w14:paraId="026596CF" w14:textId="77777777" w:rsidR="007B632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32A" w14:paraId="43F8CF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20" w:type="dxa"/>
              <w:right w:w="180" w:type="dxa"/>
            </w:tcMar>
          </w:tcPr>
          <w:p w14:paraId="0E573E2C" w14:textId="77777777" w:rsidR="007B632A" w:rsidRDefault="00000000">
            <w:r>
              <w:rPr>
                <w:b/>
                <w:bCs/>
                <w:color w:val="FFFFFF"/>
                <w:sz w:val="24"/>
                <w:szCs w:val="24"/>
              </w:rPr>
              <w:lastRenderedPageBreak/>
              <w:t>3. Metodología</w:t>
            </w:r>
          </w:p>
        </w:tc>
      </w:tr>
    </w:tbl>
    <w:p w14:paraId="3B40A7C7" w14:textId="77777777" w:rsidR="007B632A" w:rsidRDefault="007B632A">
      <w:pPr>
        <w:spacing w:before="80" w:after="80"/>
      </w:pPr>
    </w:p>
    <w:p w14:paraId="3A71418E" w14:textId="77777777" w:rsidR="007B632A" w:rsidRDefault="00000000">
      <w:pPr>
        <w:spacing w:before="60" w:after="60"/>
      </w:pPr>
      <w:r>
        <w:t>El análisis siguió un proceso estructurado de ciencia de datos en cuatro fases. Es importante destacar que el objetivo no era predecir cuántas unidades de cada producto se vendían (esa variable es casi siempre 1 por pedido), sino predecir el total de ventas diarias en pesos colombianos, que es lo que permite gestionar el inventario y los recursos operativos.</w:t>
      </w:r>
    </w:p>
    <w:p w14:paraId="25ECAA45" w14:textId="77777777" w:rsidR="007B632A" w:rsidRDefault="007B632A">
      <w:pPr>
        <w:spacing w:before="80" w:after="80"/>
      </w:pPr>
    </w:p>
    <w:p w14:paraId="034CF010" w14:textId="77777777" w:rsidR="007B632A" w:rsidRDefault="00000000">
      <w:pPr>
        <w:pStyle w:val="Ttulo2"/>
        <w:spacing w:before="200" w:after="80"/>
      </w:pPr>
      <w:r>
        <w:rPr>
          <w:b/>
          <w:bCs/>
          <w:color w:val="2E75B6"/>
          <w:sz w:val="22"/>
          <w:szCs w:val="22"/>
        </w:rPr>
        <w:t>Fase 1 — Comprensión y limpieza de datos</w:t>
      </w:r>
    </w:p>
    <w:p w14:paraId="39A244DE" w14:textId="77777777" w:rsidR="007B632A" w:rsidRDefault="00000000">
      <w:pPr>
        <w:spacing w:before="60" w:after="60"/>
      </w:pPr>
      <w:r>
        <w:t>Se integraron 6 bases de datos con información de ventas, productos, descuentos y comportamiento temporal. Los datos de precio estaban en formato europeo (1.234,56 COP) y debieron convertirse al formato estándar. El 21.3% de los registros habían sido enriquecidos con inteligencia artificial para completar campos faltantes.</w:t>
      </w:r>
    </w:p>
    <w:p w14:paraId="2138D530" w14:textId="77777777" w:rsidR="007B632A" w:rsidRDefault="007B632A">
      <w:pPr>
        <w:spacing w:before="80" w:after="80"/>
      </w:pPr>
    </w:p>
    <w:p w14:paraId="1C57696F" w14:textId="77777777" w:rsidR="007B632A" w:rsidRDefault="00000000">
      <w:pPr>
        <w:pStyle w:val="Ttulo2"/>
        <w:spacing w:before="200" w:after="80"/>
      </w:pPr>
      <w:r>
        <w:rPr>
          <w:b/>
          <w:bCs/>
          <w:color w:val="2E75B6"/>
          <w:sz w:val="22"/>
          <w:szCs w:val="22"/>
        </w:rPr>
        <w:t>Fase 2 — Selección de variable objetivo</w:t>
      </w:r>
    </w:p>
    <w:p w14:paraId="60747661" w14:textId="77777777" w:rsidR="007B632A" w:rsidRDefault="00000000">
      <w:pPr>
        <w:spacing w:before="60" w:after="60"/>
      </w:pPr>
      <w:r>
        <w:t xml:space="preserve">La variable "cantidad por orden" fue descartada como objetivo: el 97.2% de los pedidos son de exactamente 1 unidad (rango 1-4, promedio 1.03). Predecirla sería lo mismo que decir siempre "1", sin ningún valor práctico. Se optó por predecir las ventas totales diarias en COP, usando el </w:t>
      </w:r>
      <w:proofErr w:type="spellStart"/>
      <w:r>
        <w:t>dataset</w:t>
      </w:r>
      <w:proofErr w:type="spellEnd"/>
      <w:r>
        <w:t xml:space="preserve"> de 782 días continuos de Shopify.</w:t>
      </w:r>
    </w:p>
    <w:p w14:paraId="6EEE43C6" w14:textId="77777777" w:rsidR="007B632A" w:rsidRDefault="007B632A">
      <w:pPr>
        <w:spacing w:before="80" w:after="80"/>
      </w:pPr>
    </w:p>
    <w:p w14:paraId="45AAE948" w14:textId="77777777" w:rsidR="007B632A" w:rsidRDefault="00000000">
      <w:pPr>
        <w:pStyle w:val="Ttulo2"/>
        <w:spacing w:before="200" w:after="80"/>
      </w:pPr>
      <w:r>
        <w:rPr>
          <w:b/>
          <w:bCs/>
          <w:color w:val="2E75B6"/>
          <w:sz w:val="22"/>
          <w:szCs w:val="22"/>
        </w:rPr>
        <w:t>Fase 3 — Construcción y comparación de modelos</w:t>
      </w:r>
    </w:p>
    <w:p w14:paraId="48C44DCA" w14:textId="77777777" w:rsidR="007B632A" w:rsidRDefault="00000000">
      <w:pPr>
        <w:spacing w:before="60" w:after="60"/>
      </w:pPr>
      <w:r>
        <w:t>Se entrenaron cinco modelos distintos, cada uno con un enfoque diferente:</w:t>
      </w:r>
    </w:p>
    <w:p w14:paraId="2DE92808" w14:textId="77777777" w:rsidR="007B632A" w:rsidRDefault="00000000">
      <w:pPr>
        <w:pStyle w:val="Prrafodelista"/>
        <w:numPr>
          <w:ilvl w:val="0"/>
          <w:numId w:val="2"/>
        </w:numPr>
        <w:spacing w:before="40" w:after="40"/>
      </w:pPr>
      <w:r>
        <w:t>Regresión Lineal Simple: usa solo el número de pedidos. Fácil de interpretar.</w:t>
      </w:r>
    </w:p>
    <w:p w14:paraId="64B19917" w14:textId="77777777" w:rsidR="007B632A" w:rsidRDefault="00000000">
      <w:pPr>
        <w:pStyle w:val="Prrafodelista"/>
        <w:numPr>
          <w:ilvl w:val="0"/>
          <w:numId w:val="2"/>
        </w:numPr>
        <w:spacing w:before="40" w:after="40"/>
      </w:pPr>
      <w:r>
        <w:t xml:space="preserve">Regresión Lineal Múltiple: usa 14 variables simultáneamente. Más </w:t>
      </w:r>
      <w:proofErr w:type="gramStart"/>
      <w:r>
        <w:t>completa</w:t>
      </w:r>
      <w:proofErr w:type="gramEnd"/>
      <w:r>
        <w:t xml:space="preserve"> pero asume relaciones fijas.</w:t>
      </w:r>
    </w:p>
    <w:p w14:paraId="0C4AED90" w14:textId="77777777" w:rsidR="007B632A" w:rsidRDefault="00000000">
      <w:pPr>
        <w:pStyle w:val="Prrafodelista"/>
        <w:numPr>
          <w:ilvl w:val="0"/>
          <w:numId w:val="2"/>
        </w:numPr>
        <w:spacing w:before="40" w:after="40"/>
      </w:pPr>
      <w:r>
        <w:t>Árbol de Decisión: usa preguntas sucesivas tipo "¿pedidos &gt; 5?". Intuitivo pero propenso a memorizar datos.</w:t>
      </w:r>
    </w:p>
    <w:p w14:paraId="31885780" w14:textId="77777777" w:rsidR="007B632A" w:rsidRDefault="00000000">
      <w:pPr>
        <w:pStyle w:val="Prrafodelista"/>
        <w:numPr>
          <w:ilvl w:val="0"/>
          <w:numId w:val="2"/>
        </w:numPr>
        <w:spacing w:before="40" w:after="40"/>
      </w:pPr>
      <w:r>
        <w:t>Random Forest: combina cientos de árboles de decisión para mayor robustez.</w:t>
      </w:r>
    </w:p>
    <w:p w14:paraId="56918717" w14:textId="77777777" w:rsidR="007B632A" w:rsidRDefault="00000000">
      <w:pPr>
        <w:pStyle w:val="Prrafodelista"/>
        <w:numPr>
          <w:ilvl w:val="0"/>
          <w:numId w:val="2"/>
        </w:numPr>
        <w:spacing w:before="40" w:after="40"/>
      </w:pPr>
      <w:proofErr w:type="spellStart"/>
      <w:r>
        <w:t>Gradient</w:t>
      </w:r>
      <w:proofErr w:type="spellEnd"/>
      <w:r>
        <w:t xml:space="preserve"> </w:t>
      </w:r>
      <w:proofErr w:type="spellStart"/>
      <w:r>
        <w:t>Boosting</w:t>
      </w:r>
      <w:proofErr w:type="spellEnd"/>
      <w:r>
        <w:t>: aprende de sus errores progresivamente. El más preciso en este análisis.</w:t>
      </w:r>
    </w:p>
    <w:p w14:paraId="27F86309" w14:textId="77777777" w:rsidR="007B632A" w:rsidRDefault="007B632A">
      <w:pPr>
        <w:spacing w:before="80" w:after="80"/>
      </w:pPr>
    </w:p>
    <w:p w14:paraId="7EFC1666" w14:textId="77777777" w:rsidR="007B632A" w:rsidRDefault="00000000">
      <w:pPr>
        <w:pStyle w:val="Ttulo2"/>
        <w:spacing w:before="200" w:after="80"/>
      </w:pPr>
      <w:r>
        <w:rPr>
          <w:b/>
          <w:bCs/>
          <w:color w:val="2E75B6"/>
          <w:sz w:val="22"/>
          <w:szCs w:val="22"/>
        </w:rPr>
        <w:t>Fase 4 — Validación y selección</w:t>
      </w:r>
    </w:p>
    <w:p w14:paraId="27F447DC" w14:textId="77777777" w:rsidR="007B632A" w:rsidRDefault="00000000">
      <w:pPr>
        <w:spacing w:before="60" w:after="60"/>
      </w:pPr>
      <w:r>
        <w:t xml:space="preserve">Para evitar que el modelo "memorice" los datos históricos sin aprender patrones reales, se utilizó validación cruzada de 5 grupos (CV-5): el </w:t>
      </w:r>
      <w:proofErr w:type="spellStart"/>
      <w:r>
        <w:t>dataset</w:t>
      </w:r>
      <w:proofErr w:type="spellEnd"/>
      <w:r>
        <w:t xml:space="preserve"> se dividió 5 veces en diferentes combinaciones de entrenamiento y prueba. El modelo que mantuvo la mayor precisión promedio en todos los grupos fue seleccionado.</w:t>
      </w:r>
    </w:p>
    <w:p w14:paraId="61757FB0" w14:textId="77777777" w:rsidR="007B632A" w:rsidRDefault="007B632A">
      <w:pPr>
        <w:spacing w:before="80" w:after="80"/>
      </w:pPr>
    </w:p>
    <w:p w14:paraId="73B068B0" w14:textId="77777777" w:rsidR="007B632A" w:rsidRDefault="00000000">
      <w:pPr>
        <w:spacing w:before="60" w:after="60"/>
      </w:pPr>
      <w:r>
        <w:rPr>
          <w:i/>
          <w:iCs/>
          <w:color w:val="555555"/>
        </w:rPr>
        <w:t>Nota técnica: R² es el porcentaje de variabilidad de las ventas que el modelo logra explicar. Un R² del 85.69% significa que el modelo captura 85.7 de cada 100 pesos de variación en ventas. El MAE (Error Absoluto Medio) es el monto en COP que el modelo se equivoca en promedio cada día.</w:t>
      </w:r>
    </w:p>
    <w:p w14:paraId="51AD1B67" w14:textId="77777777" w:rsidR="007B632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32A" w14:paraId="398833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20" w:type="dxa"/>
              <w:right w:w="180" w:type="dxa"/>
            </w:tcMar>
          </w:tcPr>
          <w:p w14:paraId="790114CF" w14:textId="77777777" w:rsidR="007B632A" w:rsidRDefault="00000000">
            <w:r>
              <w:rPr>
                <w:b/>
                <w:bCs/>
                <w:color w:val="FFFFFF"/>
                <w:sz w:val="24"/>
                <w:szCs w:val="24"/>
              </w:rPr>
              <w:lastRenderedPageBreak/>
              <w:t>4. Resultados Principales</w:t>
            </w:r>
          </w:p>
        </w:tc>
      </w:tr>
    </w:tbl>
    <w:p w14:paraId="39304BB9" w14:textId="77777777" w:rsidR="007B632A" w:rsidRDefault="007B632A">
      <w:pPr>
        <w:spacing w:before="80" w:after="80"/>
      </w:pPr>
    </w:p>
    <w:p w14:paraId="0CD5DB91" w14:textId="77777777" w:rsidR="007B632A" w:rsidRDefault="00000000">
      <w:pPr>
        <w:pStyle w:val="Ttulo2"/>
        <w:spacing w:before="200" w:after="80"/>
      </w:pPr>
      <w:r>
        <w:rPr>
          <w:b/>
          <w:bCs/>
          <w:color w:val="2E75B6"/>
          <w:sz w:val="22"/>
          <w:szCs w:val="22"/>
        </w:rPr>
        <w:t>Hallazgo 1 — Las ventas son altamente estacionales y predecibles</w:t>
      </w:r>
    </w:p>
    <w:p w14:paraId="0354F79C" w14:textId="77777777" w:rsidR="007B632A" w:rsidRDefault="00000000">
      <w:pPr>
        <w:spacing w:before="60" w:after="60"/>
      </w:pPr>
      <w:r>
        <w:t>Durante los 29 meses analizados, las ventas mostraron picos consistentes ligados al calendario ciclístico: junio (Tour de Francia), abril y agosto concentran los meses de mayor ingreso. El mes de mayor venta fue junio 2024 con $82 millones COP —seis veces el promedio mensual—, seguido por abril 2024 con $48 millones. La desviación estándar mensual ($16.6M) supera la media ($13.7M), lo que confirma que el negocio no es uniforme y requiere planificación diferenciada por temporada.</w:t>
      </w:r>
    </w:p>
    <w:p w14:paraId="6DABDC68" w14:textId="77777777" w:rsidR="007B632A" w:rsidRDefault="007B632A">
      <w:pPr>
        <w:spacing w:before="80" w:after="80"/>
      </w:pPr>
    </w:p>
    <w:p w14:paraId="75337F96" w14:textId="77777777" w:rsidR="007B632A" w:rsidRDefault="00000000">
      <w:pPr>
        <w:spacing w:before="80" w:after="40"/>
        <w:jc w:val="center"/>
      </w:pPr>
      <w:r>
        <w:rPr>
          <w:noProof/>
        </w:rPr>
        <w:drawing>
          <wp:inline distT="0" distB="0" distL="0" distR="0" wp14:anchorId="2E9F7286" wp14:editId="35F9426A">
            <wp:extent cx="5524500" cy="2286000"/>
            <wp:effectExtent l="0" t="0" r="0" b="0"/>
            <wp:docPr id="1" name="Gráfico" descr="Gráfico"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286000"/>
                    </a:xfrm>
                    <a:prstGeom prst="rect">
                      <a:avLst/>
                    </a:prstGeom>
                  </pic:spPr>
                </pic:pic>
              </a:graphicData>
            </a:graphic>
          </wp:inline>
        </w:drawing>
      </w:r>
    </w:p>
    <w:p w14:paraId="53B28D5C" w14:textId="77777777" w:rsidR="007B632A" w:rsidRDefault="00000000">
      <w:pPr>
        <w:spacing w:before="40" w:after="120"/>
        <w:jc w:val="center"/>
      </w:pPr>
      <w:r>
        <w:rPr>
          <w:i/>
          <w:iCs/>
          <w:color w:val="555555"/>
          <w:sz w:val="18"/>
          <w:szCs w:val="18"/>
        </w:rPr>
        <w:t xml:space="preserve">Gráfico 1. Ventas mensuales de Eleven Pro (Oct 2023 – Feb 2026). Los meses en azul oscuro superan el percentil 80 de ventas. La línea naranja indica el promedio mensual ($13.7M COP). Los picos de junio 2024 y abril 2024 corresponden a campañas del Tour de Francia y Giro </w:t>
      </w:r>
      <w:proofErr w:type="spellStart"/>
      <w:r>
        <w:rPr>
          <w:i/>
          <w:iCs/>
          <w:color w:val="555555"/>
          <w:sz w:val="18"/>
          <w:szCs w:val="18"/>
        </w:rPr>
        <w:t>d'Italia</w:t>
      </w:r>
      <w:proofErr w:type="spellEnd"/>
      <w:r>
        <w:rPr>
          <w:i/>
          <w:iCs/>
          <w:color w:val="555555"/>
          <w:sz w:val="18"/>
          <w:szCs w:val="18"/>
        </w:rPr>
        <w:t>.</w:t>
      </w:r>
    </w:p>
    <w:p w14:paraId="03E5E39C" w14:textId="77777777" w:rsidR="007B632A" w:rsidRDefault="007B632A">
      <w:pPr>
        <w:spacing w:before="80" w:after="80"/>
      </w:pPr>
    </w:p>
    <w:p w14:paraId="25597B57" w14:textId="77777777" w:rsidR="007B632A" w:rsidRDefault="00000000">
      <w:pPr>
        <w:pStyle w:val="Ttulo2"/>
        <w:spacing w:before="200" w:after="80"/>
      </w:pPr>
      <w:r>
        <w:rPr>
          <w:b/>
          <w:bCs/>
          <w:color w:val="2E75B6"/>
          <w:sz w:val="22"/>
          <w:szCs w:val="22"/>
        </w:rPr>
        <w:t xml:space="preserve">Hallazgo 2 — </w:t>
      </w:r>
      <w:proofErr w:type="spellStart"/>
      <w:r>
        <w:rPr>
          <w:b/>
          <w:bCs/>
          <w:color w:val="2E75B6"/>
          <w:sz w:val="22"/>
          <w:szCs w:val="22"/>
        </w:rPr>
        <w:t>Gradient</w:t>
      </w:r>
      <w:proofErr w:type="spellEnd"/>
      <w:r>
        <w:rPr>
          <w:b/>
          <w:bCs/>
          <w:color w:val="2E75B6"/>
          <w:sz w:val="22"/>
          <w:szCs w:val="22"/>
        </w:rPr>
        <w:t xml:space="preserve"> </w:t>
      </w:r>
      <w:proofErr w:type="spellStart"/>
      <w:r>
        <w:rPr>
          <w:b/>
          <w:bCs/>
          <w:color w:val="2E75B6"/>
          <w:sz w:val="22"/>
          <w:szCs w:val="22"/>
        </w:rPr>
        <w:t>Boosting</w:t>
      </w:r>
      <w:proofErr w:type="spellEnd"/>
      <w:r>
        <w:rPr>
          <w:b/>
          <w:bCs/>
          <w:color w:val="2E75B6"/>
          <w:sz w:val="22"/>
          <w:szCs w:val="22"/>
        </w:rPr>
        <w:t xml:space="preserve"> supera a todos los demás modelos</w:t>
      </w:r>
    </w:p>
    <w:p w14:paraId="74DD7DC3" w14:textId="77777777" w:rsidR="007B632A" w:rsidRDefault="00000000">
      <w:pPr>
        <w:spacing w:before="60" w:after="60"/>
      </w:pPr>
      <w:r>
        <w:t xml:space="preserve">El modelo </w:t>
      </w:r>
      <w:proofErr w:type="spellStart"/>
      <w:r>
        <w:t>Gradient</w:t>
      </w:r>
      <w:proofErr w:type="spellEnd"/>
      <w:r>
        <w:t xml:space="preserve"> </w:t>
      </w:r>
      <w:proofErr w:type="spellStart"/>
      <w:r>
        <w:t>Boosting</w:t>
      </w:r>
      <w:proofErr w:type="spellEnd"/>
      <w:r>
        <w:t xml:space="preserve"> obtuvo el mejor desempeño en todas las métricas relevantes. Su error diario promedio de $102,064 COP representa una mejora del 40% frente a la regresión lineal simple ($169,906 COP). En validación cruzada —la prueba más exigente— alcanzó un R² del 85.69%, frente al 79.59% de la regresión lineal.</w:t>
      </w:r>
    </w:p>
    <w:p w14:paraId="702E94C7" w14:textId="77777777" w:rsidR="007B632A" w:rsidRDefault="007B632A">
      <w:pPr>
        <w:spacing w:before="80" w:after="80"/>
      </w:pPr>
    </w:p>
    <w:p w14:paraId="460E88B5" w14:textId="77777777" w:rsidR="007B632A" w:rsidRDefault="00000000">
      <w:pPr>
        <w:spacing w:before="80" w:after="40"/>
        <w:jc w:val="center"/>
      </w:pPr>
      <w:r>
        <w:rPr>
          <w:noProof/>
        </w:rPr>
        <w:drawing>
          <wp:inline distT="0" distB="0" distL="0" distR="0" wp14:anchorId="3675BE24" wp14:editId="5E0C388D">
            <wp:extent cx="5524500" cy="2286000"/>
            <wp:effectExtent l="0" t="0" r="0" b="0"/>
            <wp:docPr id="1049387120" name="Gráfico" descr="Gráfico"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286000"/>
                    </a:xfrm>
                    <a:prstGeom prst="rect">
                      <a:avLst/>
                    </a:prstGeom>
                  </pic:spPr>
                </pic:pic>
              </a:graphicData>
            </a:graphic>
          </wp:inline>
        </w:drawing>
      </w:r>
    </w:p>
    <w:p w14:paraId="369F6FAE" w14:textId="77777777" w:rsidR="007B632A" w:rsidRDefault="00000000">
      <w:pPr>
        <w:spacing w:before="40" w:after="120"/>
        <w:jc w:val="center"/>
      </w:pPr>
      <w:r>
        <w:rPr>
          <w:i/>
          <w:iCs/>
          <w:color w:val="555555"/>
          <w:sz w:val="18"/>
          <w:szCs w:val="18"/>
        </w:rPr>
        <w:t>Gráfico 2. Comparación de los cinco modelos evaluados. La barra azul oscuro (</w:t>
      </w:r>
      <w:proofErr w:type="spellStart"/>
      <w:r>
        <w:rPr>
          <w:i/>
          <w:iCs/>
          <w:color w:val="555555"/>
          <w:sz w:val="18"/>
          <w:szCs w:val="18"/>
        </w:rPr>
        <w:t>Gradient</w:t>
      </w:r>
      <w:proofErr w:type="spellEnd"/>
      <w:r>
        <w:rPr>
          <w:i/>
          <w:iCs/>
          <w:color w:val="555555"/>
          <w:sz w:val="18"/>
          <w:szCs w:val="18"/>
        </w:rPr>
        <w:t xml:space="preserve"> </w:t>
      </w:r>
      <w:proofErr w:type="spellStart"/>
      <w:r>
        <w:rPr>
          <w:i/>
          <w:iCs/>
          <w:color w:val="555555"/>
          <w:sz w:val="18"/>
          <w:szCs w:val="18"/>
        </w:rPr>
        <w:t>Boosting</w:t>
      </w:r>
      <w:proofErr w:type="spellEnd"/>
      <w:r>
        <w:rPr>
          <w:i/>
          <w:iCs/>
          <w:color w:val="555555"/>
          <w:sz w:val="18"/>
          <w:szCs w:val="18"/>
        </w:rPr>
        <w:t>) muestra el mayor porcentaje de precisión (izquierda) y el menor error en pesos (derecha). La regresión lineal simple, aunque más fácil de explicar, se equivoca un 66% más por día.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700"/>
        <w:gridCol w:w="2300"/>
        <w:gridCol w:w="1860"/>
      </w:tblGrid>
      <w:tr w:rsidR="007B632A" w14:paraId="12FE1123"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1B3A6B"/>
            <w:tcMar>
              <w:top w:w="80" w:type="dxa"/>
              <w:left w:w="120" w:type="dxa"/>
              <w:bottom w:w="80" w:type="dxa"/>
              <w:right w:w="120" w:type="dxa"/>
            </w:tcMar>
          </w:tcPr>
          <w:p w14:paraId="1D8C3D94" w14:textId="77777777" w:rsidR="007B632A" w:rsidRDefault="00000000">
            <w:pPr>
              <w:jc w:val="center"/>
            </w:pPr>
            <w:r>
              <w:rPr>
                <w:b/>
                <w:bCs/>
                <w:color w:val="FFFFFF"/>
                <w:sz w:val="18"/>
                <w:szCs w:val="18"/>
              </w:rPr>
              <w:lastRenderedPageBreak/>
              <w:t>Modelo</w:t>
            </w:r>
          </w:p>
        </w:tc>
        <w:tc>
          <w:tcPr>
            <w:tcW w:w="1700" w:type="dxa"/>
            <w:tcBorders>
              <w:top w:val="single" w:sz="1" w:space="0" w:color="BDC3C7"/>
              <w:left w:val="single" w:sz="1" w:space="0" w:color="BDC3C7"/>
              <w:bottom w:val="single" w:sz="1" w:space="0" w:color="BDC3C7"/>
              <w:right w:val="single" w:sz="1" w:space="0" w:color="BDC3C7"/>
            </w:tcBorders>
            <w:shd w:val="clear" w:color="auto" w:fill="1B3A6B"/>
            <w:tcMar>
              <w:top w:w="80" w:type="dxa"/>
              <w:left w:w="120" w:type="dxa"/>
              <w:bottom w:w="80" w:type="dxa"/>
              <w:right w:w="120" w:type="dxa"/>
            </w:tcMar>
          </w:tcPr>
          <w:p w14:paraId="282328AA" w14:textId="77777777" w:rsidR="007B632A" w:rsidRDefault="00000000">
            <w:pPr>
              <w:jc w:val="center"/>
            </w:pPr>
            <w:r>
              <w:rPr>
                <w:b/>
                <w:bCs/>
                <w:color w:val="FFFFFF"/>
                <w:sz w:val="18"/>
                <w:szCs w:val="18"/>
              </w:rPr>
              <w:t>Precisión CV (%)</w:t>
            </w:r>
          </w:p>
        </w:tc>
        <w:tc>
          <w:tcPr>
            <w:tcW w:w="2300" w:type="dxa"/>
            <w:tcBorders>
              <w:top w:val="single" w:sz="1" w:space="0" w:color="BDC3C7"/>
              <w:left w:val="single" w:sz="1" w:space="0" w:color="BDC3C7"/>
              <w:bottom w:val="single" w:sz="1" w:space="0" w:color="BDC3C7"/>
              <w:right w:val="single" w:sz="1" w:space="0" w:color="BDC3C7"/>
            </w:tcBorders>
            <w:shd w:val="clear" w:color="auto" w:fill="1B3A6B"/>
            <w:tcMar>
              <w:top w:w="80" w:type="dxa"/>
              <w:left w:w="120" w:type="dxa"/>
              <w:bottom w:w="80" w:type="dxa"/>
              <w:right w:w="120" w:type="dxa"/>
            </w:tcMar>
          </w:tcPr>
          <w:p w14:paraId="67DBC9B0" w14:textId="77777777" w:rsidR="007B632A" w:rsidRDefault="00000000">
            <w:pPr>
              <w:jc w:val="center"/>
            </w:pPr>
            <w:r>
              <w:rPr>
                <w:b/>
                <w:bCs/>
                <w:color w:val="FFFFFF"/>
                <w:sz w:val="18"/>
                <w:szCs w:val="18"/>
              </w:rPr>
              <w:t>Error diario promedio</w:t>
            </w:r>
          </w:p>
        </w:tc>
        <w:tc>
          <w:tcPr>
            <w:tcW w:w="1860" w:type="dxa"/>
            <w:tcBorders>
              <w:top w:val="single" w:sz="1" w:space="0" w:color="BDC3C7"/>
              <w:left w:val="single" w:sz="1" w:space="0" w:color="BDC3C7"/>
              <w:bottom w:val="single" w:sz="1" w:space="0" w:color="BDC3C7"/>
              <w:right w:val="single" w:sz="1" w:space="0" w:color="BDC3C7"/>
            </w:tcBorders>
            <w:shd w:val="clear" w:color="auto" w:fill="1B3A6B"/>
            <w:tcMar>
              <w:top w:w="80" w:type="dxa"/>
              <w:left w:w="120" w:type="dxa"/>
              <w:bottom w:w="80" w:type="dxa"/>
              <w:right w:w="120" w:type="dxa"/>
            </w:tcMar>
          </w:tcPr>
          <w:p w14:paraId="75D54D29" w14:textId="77777777" w:rsidR="007B632A" w:rsidRDefault="00000000">
            <w:pPr>
              <w:jc w:val="center"/>
            </w:pPr>
            <w:r>
              <w:rPr>
                <w:b/>
                <w:bCs/>
                <w:color w:val="FFFFFF"/>
                <w:sz w:val="18"/>
                <w:szCs w:val="18"/>
              </w:rPr>
              <w:t>Sobreajuste</w:t>
            </w:r>
          </w:p>
        </w:tc>
      </w:tr>
      <w:tr w:rsidR="007B632A" w14:paraId="7EDCA612"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37E42D47" w14:textId="77777777" w:rsidR="007B632A" w:rsidRDefault="00000000">
            <w:r>
              <w:rPr>
                <w:color w:val="000000"/>
                <w:sz w:val="18"/>
                <w:szCs w:val="18"/>
              </w:rPr>
              <w:t>Regresión Lineal Simple</w:t>
            </w:r>
          </w:p>
        </w:tc>
        <w:tc>
          <w:tcPr>
            <w:tcW w:w="170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47A9D429" w14:textId="77777777" w:rsidR="007B632A" w:rsidRDefault="00000000">
            <w:r>
              <w:rPr>
                <w:color w:val="000000"/>
                <w:sz w:val="18"/>
                <w:szCs w:val="18"/>
              </w:rPr>
              <w:t>79.6%</w:t>
            </w:r>
          </w:p>
        </w:tc>
        <w:tc>
          <w:tcPr>
            <w:tcW w:w="230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593CFACA" w14:textId="77777777" w:rsidR="007B632A" w:rsidRDefault="00000000">
            <w:r>
              <w:rPr>
                <w:color w:val="000000"/>
                <w:sz w:val="18"/>
                <w:szCs w:val="18"/>
              </w:rPr>
              <w:t>$169,906 COP</w:t>
            </w:r>
          </w:p>
        </w:tc>
        <w:tc>
          <w:tcPr>
            <w:tcW w:w="186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136E05AE" w14:textId="77777777" w:rsidR="007B632A" w:rsidRDefault="00000000">
            <w:r>
              <w:rPr>
                <w:color w:val="000000"/>
                <w:sz w:val="18"/>
                <w:szCs w:val="18"/>
              </w:rPr>
              <w:t>Bajo</w:t>
            </w:r>
          </w:p>
        </w:tc>
      </w:tr>
      <w:tr w:rsidR="007B632A" w14:paraId="5A2ADB46"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1DBF3C7" w14:textId="77777777" w:rsidR="007B632A" w:rsidRDefault="00000000">
            <w:r>
              <w:rPr>
                <w:color w:val="000000"/>
                <w:sz w:val="18"/>
                <w:szCs w:val="18"/>
              </w:rPr>
              <w:t>Regresión Lineal Múltiple</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E240139" w14:textId="77777777" w:rsidR="007B632A" w:rsidRDefault="00000000">
            <w:r>
              <w:rPr>
                <w:color w:val="000000"/>
                <w:sz w:val="18"/>
                <w:szCs w:val="18"/>
              </w:rPr>
              <w:t>80.3%</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64F98C8" w14:textId="77777777" w:rsidR="007B632A" w:rsidRDefault="00000000">
            <w:r>
              <w:rPr>
                <w:color w:val="000000"/>
                <w:sz w:val="18"/>
                <w:szCs w:val="18"/>
              </w:rPr>
              <w:t>$143,238 COP</w:t>
            </w:r>
          </w:p>
        </w:tc>
        <w:tc>
          <w:tcPr>
            <w:tcW w:w="18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6A52FE3" w14:textId="77777777" w:rsidR="007B632A" w:rsidRDefault="00000000">
            <w:r>
              <w:rPr>
                <w:color w:val="000000"/>
                <w:sz w:val="18"/>
                <w:szCs w:val="18"/>
              </w:rPr>
              <w:t>Bajo</w:t>
            </w:r>
          </w:p>
        </w:tc>
      </w:tr>
      <w:tr w:rsidR="007B632A" w14:paraId="0BE5CBBA"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392AF508" w14:textId="77777777" w:rsidR="007B632A" w:rsidRDefault="00000000">
            <w:r>
              <w:rPr>
                <w:color w:val="000000"/>
                <w:sz w:val="18"/>
                <w:szCs w:val="18"/>
              </w:rPr>
              <w:t>Árbol de Decisión</w:t>
            </w:r>
          </w:p>
        </w:tc>
        <w:tc>
          <w:tcPr>
            <w:tcW w:w="170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4006FD43" w14:textId="77777777" w:rsidR="007B632A" w:rsidRDefault="00000000">
            <w:r>
              <w:rPr>
                <w:color w:val="000000"/>
                <w:sz w:val="18"/>
                <w:szCs w:val="18"/>
              </w:rPr>
              <w:t>76.2%</w:t>
            </w:r>
          </w:p>
        </w:tc>
        <w:tc>
          <w:tcPr>
            <w:tcW w:w="230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672EC682" w14:textId="77777777" w:rsidR="007B632A" w:rsidRDefault="00000000">
            <w:r>
              <w:rPr>
                <w:color w:val="000000"/>
                <w:sz w:val="18"/>
                <w:szCs w:val="18"/>
              </w:rPr>
              <w:t>$126,980 COP</w:t>
            </w:r>
          </w:p>
        </w:tc>
        <w:tc>
          <w:tcPr>
            <w:tcW w:w="186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08825AE6" w14:textId="77777777" w:rsidR="007B632A" w:rsidRDefault="00000000">
            <w:r>
              <w:rPr>
                <w:color w:val="000000"/>
                <w:sz w:val="18"/>
                <w:szCs w:val="18"/>
              </w:rPr>
              <w:t>Moderado</w:t>
            </w:r>
          </w:p>
        </w:tc>
      </w:tr>
      <w:tr w:rsidR="007B632A" w14:paraId="1EA7F5E5"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9C54B75" w14:textId="77777777" w:rsidR="007B632A" w:rsidRDefault="00000000">
            <w:r>
              <w:rPr>
                <w:color w:val="000000"/>
                <w:sz w:val="18"/>
                <w:szCs w:val="18"/>
              </w:rPr>
              <w:t>Random Forest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0EC7369" w14:textId="77777777" w:rsidR="007B632A" w:rsidRDefault="00000000">
            <w:r>
              <w:rPr>
                <w:color w:val="000000"/>
                <w:sz w:val="18"/>
                <w:szCs w:val="18"/>
              </w:rPr>
              <w:t>83.7%</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A146DEB" w14:textId="77777777" w:rsidR="007B632A" w:rsidRDefault="00000000">
            <w:r>
              <w:rPr>
                <w:color w:val="000000"/>
                <w:sz w:val="18"/>
                <w:szCs w:val="18"/>
              </w:rPr>
              <w:t>$118,126 COP</w:t>
            </w:r>
          </w:p>
        </w:tc>
        <w:tc>
          <w:tcPr>
            <w:tcW w:w="18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3CC9A411" w14:textId="77777777" w:rsidR="007B632A" w:rsidRDefault="00000000">
            <w:r>
              <w:rPr>
                <w:color w:val="000000"/>
                <w:sz w:val="18"/>
                <w:szCs w:val="18"/>
              </w:rPr>
              <w:t>Bajo</w:t>
            </w:r>
          </w:p>
        </w:tc>
      </w:tr>
      <w:tr w:rsidR="007B632A" w14:paraId="7F38FADA"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2C91243D" w14:textId="77777777" w:rsidR="007B632A" w:rsidRDefault="00000000">
            <w:proofErr w:type="spellStart"/>
            <w:r>
              <w:rPr>
                <w:b/>
                <w:bCs/>
                <w:color w:val="1B3A6B"/>
                <w:sz w:val="18"/>
                <w:szCs w:val="18"/>
              </w:rPr>
              <w:t>Gradient</w:t>
            </w:r>
            <w:proofErr w:type="spellEnd"/>
            <w:r>
              <w:rPr>
                <w:b/>
                <w:bCs/>
                <w:color w:val="1B3A6B"/>
                <w:sz w:val="18"/>
                <w:szCs w:val="18"/>
              </w:rPr>
              <w:t xml:space="preserve"> </w:t>
            </w:r>
            <w:proofErr w:type="spellStart"/>
            <w:r>
              <w:rPr>
                <w:b/>
                <w:bCs/>
                <w:color w:val="1B3A6B"/>
                <w:sz w:val="18"/>
                <w:szCs w:val="18"/>
              </w:rPr>
              <w:t>Boosting</w:t>
            </w:r>
            <w:proofErr w:type="spellEnd"/>
            <w:r>
              <w:rPr>
                <w:b/>
                <w:bCs/>
                <w:color w:val="1B3A6B"/>
                <w:sz w:val="18"/>
                <w:szCs w:val="18"/>
              </w:rPr>
              <w:t xml:space="preserve"> ✓ GANADOR</w:t>
            </w:r>
          </w:p>
        </w:tc>
        <w:tc>
          <w:tcPr>
            <w:tcW w:w="170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57280E07" w14:textId="77777777" w:rsidR="007B632A" w:rsidRDefault="00000000">
            <w:r>
              <w:rPr>
                <w:b/>
                <w:bCs/>
                <w:color w:val="000000"/>
                <w:sz w:val="18"/>
                <w:szCs w:val="18"/>
              </w:rPr>
              <w:t>85.7%</w:t>
            </w:r>
          </w:p>
        </w:tc>
        <w:tc>
          <w:tcPr>
            <w:tcW w:w="230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36AF0287" w14:textId="77777777" w:rsidR="007B632A" w:rsidRDefault="00000000">
            <w:r>
              <w:rPr>
                <w:b/>
                <w:bCs/>
                <w:color w:val="000000"/>
                <w:sz w:val="18"/>
                <w:szCs w:val="18"/>
              </w:rPr>
              <w:t>$102,064 COP</w:t>
            </w:r>
          </w:p>
        </w:tc>
        <w:tc>
          <w:tcPr>
            <w:tcW w:w="186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7300C2AA" w14:textId="77777777" w:rsidR="007B632A" w:rsidRDefault="00000000">
            <w:r>
              <w:rPr>
                <w:color w:val="000000"/>
                <w:sz w:val="18"/>
                <w:szCs w:val="18"/>
              </w:rPr>
              <w:t>Bajo</w:t>
            </w:r>
          </w:p>
        </w:tc>
      </w:tr>
    </w:tbl>
    <w:p w14:paraId="47FC6A37" w14:textId="77777777" w:rsidR="007B632A" w:rsidRDefault="007B632A">
      <w:pPr>
        <w:spacing w:before="80" w:after="80"/>
      </w:pPr>
    </w:p>
    <w:p w14:paraId="3983A4E9" w14:textId="77777777" w:rsidR="007B632A" w:rsidRDefault="00000000">
      <w:pPr>
        <w:pStyle w:val="Ttulo2"/>
        <w:spacing w:before="200" w:after="80"/>
      </w:pPr>
      <w:r>
        <w:rPr>
          <w:b/>
          <w:bCs/>
          <w:color w:val="2E75B6"/>
          <w:sz w:val="22"/>
          <w:szCs w:val="22"/>
        </w:rPr>
        <w:t>Hallazgo 3 — El número de pedidos es el único factor que realmente importa</w:t>
      </w:r>
    </w:p>
    <w:p w14:paraId="0A5A4BD3" w14:textId="77777777" w:rsidR="007B632A" w:rsidRDefault="00000000">
      <w:pPr>
        <w:spacing w:before="60" w:after="60"/>
      </w:pPr>
      <w:r>
        <w:t xml:space="preserve">El análisis reveló que el 94.8% del comportamiento de las ventas diarias se explica por una sola variable: cuántos pedidos entran en el día. Las demás 13 variables (día de la semana, mes, descuentos, tendencia histórica, etc.) aportan juntas apenas el 5.2% restante. Esto es un </w:t>
      </w:r>
      <w:proofErr w:type="spellStart"/>
      <w:r>
        <w:t>insight</w:t>
      </w:r>
      <w:proofErr w:type="spellEnd"/>
      <w:r>
        <w:t xml:space="preserve"> estratégico de primer orden: la tienda no necesita "hacer más cosas" para vender más, necesita específicamente atraer más pedidos.</w:t>
      </w:r>
    </w:p>
    <w:p w14:paraId="451B9493" w14:textId="77777777" w:rsidR="007B632A" w:rsidRDefault="007B632A">
      <w:pPr>
        <w:spacing w:before="80" w:after="80"/>
      </w:pPr>
    </w:p>
    <w:p w14:paraId="4E1FAAB6" w14:textId="77777777" w:rsidR="007B632A" w:rsidRDefault="00000000">
      <w:pPr>
        <w:spacing w:before="80" w:after="40"/>
        <w:jc w:val="center"/>
      </w:pPr>
      <w:r>
        <w:rPr>
          <w:noProof/>
        </w:rPr>
        <w:drawing>
          <wp:inline distT="0" distB="0" distL="0" distR="0" wp14:anchorId="15E27262" wp14:editId="2B4AE86D">
            <wp:extent cx="4762500" cy="1905000"/>
            <wp:effectExtent l="0" t="0" r="0" b="0"/>
            <wp:docPr id="451980479" name="Gráfico" descr="Gráfico"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1905000"/>
                    </a:xfrm>
                    <a:prstGeom prst="rect">
                      <a:avLst/>
                    </a:prstGeom>
                  </pic:spPr>
                </pic:pic>
              </a:graphicData>
            </a:graphic>
          </wp:inline>
        </w:drawing>
      </w:r>
    </w:p>
    <w:p w14:paraId="2FE4E3C1" w14:textId="77777777" w:rsidR="007B632A" w:rsidRDefault="00000000">
      <w:pPr>
        <w:spacing w:before="40" w:after="120"/>
        <w:jc w:val="center"/>
      </w:pPr>
      <w:r>
        <w:rPr>
          <w:i/>
          <w:iCs/>
          <w:color w:val="555555"/>
          <w:sz w:val="18"/>
          <w:szCs w:val="18"/>
        </w:rPr>
        <w:t xml:space="preserve">Gráfico 3. Importancia de cada variable en el modelo </w:t>
      </w:r>
      <w:proofErr w:type="spellStart"/>
      <w:r>
        <w:rPr>
          <w:i/>
          <w:iCs/>
          <w:color w:val="555555"/>
          <w:sz w:val="18"/>
          <w:szCs w:val="18"/>
        </w:rPr>
        <w:t>Gradient</w:t>
      </w:r>
      <w:proofErr w:type="spellEnd"/>
      <w:r>
        <w:rPr>
          <w:i/>
          <w:iCs/>
          <w:color w:val="555555"/>
          <w:sz w:val="18"/>
          <w:szCs w:val="18"/>
        </w:rPr>
        <w:t xml:space="preserve"> </w:t>
      </w:r>
      <w:proofErr w:type="spellStart"/>
      <w:r>
        <w:rPr>
          <w:i/>
          <w:iCs/>
          <w:color w:val="555555"/>
          <w:sz w:val="18"/>
          <w:szCs w:val="18"/>
        </w:rPr>
        <w:t>Boosting</w:t>
      </w:r>
      <w:proofErr w:type="spellEnd"/>
      <w:r>
        <w:rPr>
          <w:i/>
          <w:iCs/>
          <w:color w:val="555555"/>
          <w:sz w:val="18"/>
          <w:szCs w:val="18"/>
        </w:rPr>
        <w:t>. Los pedidos del día concentran el 94.8% del poder predictivo. Las devoluciones (2.27%) son la segunda variable más influyente, lo que confirma que reducirlas impacta directamente las ventas netas.</w:t>
      </w:r>
    </w:p>
    <w:p w14:paraId="7B024292" w14:textId="77777777" w:rsidR="007B632A" w:rsidRDefault="007B632A">
      <w:pPr>
        <w:spacing w:before="80" w:after="80"/>
      </w:pPr>
    </w:p>
    <w:p w14:paraId="20C0C49E" w14:textId="77777777" w:rsidR="007B632A" w:rsidRDefault="00000000">
      <w:pPr>
        <w:spacing w:before="80" w:after="40"/>
        <w:jc w:val="center"/>
      </w:pPr>
      <w:r>
        <w:rPr>
          <w:noProof/>
        </w:rPr>
        <w:drawing>
          <wp:inline distT="0" distB="0" distL="0" distR="0" wp14:anchorId="73C37ABB" wp14:editId="2D484FAC">
            <wp:extent cx="5524500" cy="2286000"/>
            <wp:effectExtent l="0" t="0" r="0" b="0"/>
            <wp:docPr id="174361945" name="Gráfico" descr="Gráfico" title="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286000"/>
                    </a:xfrm>
                    <a:prstGeom prst="rect">
                      <a:avLst/>
                    </a:prstGeom>
                  </pic:spPr>
                </pic:pic>
              </a:graphicData>
            </a:graphic>
          </wp:inline>
        </w:drawing>
      </w:r>
    </w:p>
    <w:p w14:paraId="1E439254" w14:textId="77777777" w:rsidR="007B632A" w:rsidRDefault="00000000">
      <w:pPr>
        <w:spacing w:before="40" w:after="120"/>
        <w:jc w:val="center"/>
      </w:pPr>
      <w:r>
        <w:rPr>
          <w:i/>
          <w:iCs/>
          <w:color w:val="555555"/>
          <w:sz w:val="18"/>
          <w:szCs w:val="18"/>
        </w:rPr>
        <w:t>Gráfico 4 (izquierda). Distribución de ventas por categoría: Jersey y Pantaloneta concentran el 51% de las ventas. Gráfico 4 (derecha). Simulador de ventas: relación entre pedidos proyectados y ventas estimadas. La banda sombreada representa el rango de error del ±12%.</w:t>
      </w:r>
    </w:p>
    <w:p w14:paraId="21516B72" w14:textId="77777777" w:rsidR="007B632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32A" w14:paraId="7E4B7D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20" w:type="dxa"/>
              <w:right w:w="180" w:type="dxa"/>
            </w:tcMar>
          </w:tcPr>
          <w:p w14:paraId="4B93C077" w14:textId="77777777" w:rsidR="007B632A" w:rsidRDefault="00000000">
            <w:r>
              <w:rPr>
                <w:b/>
                <w:bCs/>
                <w:color w:val="FFFFFF"/>
                <w:sz w:val="24"/>
                <w:szCs w:val="24"/>
              </w:rPr>
              <w:lastRenderedPageBreak/>
              <w:t>5. Recomendaciones para Eleven Pro</w:t>
            </w:r>
          </w:p>
        </w:tc>
      </w:tr>
    </w:tbl>
    <w:p w14:paraId="310A5F07" w14:textId="77777777" w:rsidR="007B632A" w:rsidRDefault="007B632A">
      <w:pPr>
        <w:spacing w:before="80" w:after="80"/>
      </w:pPr>
    </w:p>
    <w:p w14:paraId="75EC65A2" w14:textId="77777777" w:rsidR="007B632A" w:rsidRDefault="00000000">
      <w:pPr>
        <w:spacing w:before="60" w:after="60"/>
      </w:pPr>
      <w:r>
        <w:t>Las siguientes recomendaciones se derivan directamente de los hallazgos del modelo y están ordenadas por impacto estimado en el negocio.</w:t>
      </w:r>
    </w:p>
    <w:p w14:paraId="0903ECBE" w14:textId="77777777" w:rsidR="007B632A" w:rsidRDefault="007B632A">
      <w:pPr>
        <w:spacing w:before="80" w:after="80"/>
      </w:pPr>
    </w:p>
    <w:p w14:paraId="769DF648" w14:textId="77777777" w:rsidR="007B632A" w:rsidRDefault="00000000">
      <w:pPr>
        <w:pStyle w:val="Ttulo2"/>
        <w:spacing w:before="200" w:after="80"/>
      </w:pPr>
      <w:r>
        <w:rPr>
          <w:b/>
          <w:bCs/>
          <w:color w:val="2E75B6"/>
          <w:sz w:val="22"/>
          <w:szCs w:val="22"/>
        </w:rPr>
        <w:t>Recomendación 1 (Inmediata) — Implementar el simulador de ventas en la planificación semanal</w:t>
      </w:r>
    </w:p>
    <w:p w14:paraId="24FE3061" w14:textId="77777777" w:rsidR="007B632A" w:rsidRDefault="00000000">
      <w:pPr>
        <w:spacing w:before="60" w:after="60"/>
      </w:pPr>
      <w:r>
        <w:t>El modelo puede usarse hoy mismo como herramienta de planificación. Cada lunes, el equipo de logística puede ingresar la estimación de pedidos de la semana y obtener la proyección de ventas, lo que permite definir:</w:t>
      </w:r>
    </w:p>
    <w:p w14:paraId="4692B568" w14:textId="77777777" w:rsidR="007B632A" w:rsidRDefault="00000000">
      <w:pPr>
        <w:pStyle w:val="Prrafodelista"/>
        <w:numPr>
          <w:ilvl w:val="0"/>
          <w:numId w:val="2"/>
        </w:numPr>
        <w:spacing w:before="40" w:after="40"/>
      </w:pPr>
      <w:r>
        <w:t>Cuántas unidades por categoría deben estar disponibles en bodega.</w:t>
      </w:r>
    </w:p>
    <w:p w14:paraId="05462B28" w14:textId="77777777" w:rsidR="007B632A" w:rsidRDefault="00000000">
      <w:pPr>
        <w:pStyle w:val="Prrafodelista"/>
        <w:numPr>
          <w:ilvl w:val="0"/>
          <w:numId w:val="2"/>
        </w:numPr>
        <w:spacing w:before="40" w:after="40"/>
      </w:pPr>
      <w:r>
        <w:t>Si se necesita refuerzo de personal para despacho.</w:t>
      </w:r>
    </w:p>
    <w:p w14:paraId="6FF23EDF" w14:textId="77777777" w:rsidR="007B632A" w:rsidRDefault="00000000">
      <w:pPr>
        <w:pStyle w:val="Prrafodelista"/>
        <w:numPr>
          <w:ilvl w:val="0"/>
          <w:numId w:val="2"/>
        </w:numPr>
        <w:spacing w:before="40" w:after="40"/>
      </w:pPr>
      <w:proofErr w:type="gramStart"/>
      <w:r>
        <w:t>Cuándo</w:t>
      </w:r>
      <w:proofErr w:type="gramEnd"/>
      <w:r>
        <w:t xml:space="preserve"> activar reposición urgente de inventario.</w:t>
      </w:r>
    </w:p>
    <w:p w14:paraId="3B62EAB2" w14:textId="77777777" w:rsidR="007B632A" w:rsidRDefault="00000000">
      <w:pPr>
        <w:spacing w:before="60" w:after="60"/>
      </w:pPr>
      <w:r>
        <w:t>La ecuación práctica es simple: cada pedido proyectado representa en promedio entre $148,000 y $199,000 COP en ventas, dependiendo del volumen del día.</w:t>
      </w:r>
    </w:p>
    <w:p w14:paraId="5CD287E7" w14:textId="77777777" w:rsidR="007B632A" w:rsidRDefault="007B632A">
      <w:pPr>
        <w:spacing w:before="80" w:after="80"/>
      </w:pPr>
    </w:p>
    <w:p w14:paraId="13B48F93" w14:textId="77777777" w:rsidR="007B632A" w:rsidRDefault="00000000">
      <w:pPr>
        <w:pStyle w:val="Ttulo2"/>
        <w:spacing w:before="200" w:after="80"/>
      </w:pPr>
      <w:r>
        <w:rPr>
          <w:b/>
          <w:bCs/>
          <w:color w:val="2E75B6"/>
          <w:sz w:val="22"/>
          <w:szCs w:val="22"/>
        </w:rPr>
        <w:t>Recomendación 2 (Urgente) — Crear un calendario de picos de demanda para 2026</w:t>
      </w:r>
    </w:p>
    <w:p w14:paraId="10F4A809" w14:textId="77777777" w:rsidR="007B632A" w:rsidRDefault="00000000">
      <w:pPr>
        <w:spacing w:before="60" w:after="60"/>
      </w:pPr>
      <w:r>
        <w:t>Los datos confirman que los picos de venta son predecibles y están ligados al calendario ciclístico. Eleven Pro debe programar sus compras de inventario con 45-60 días de anticipación a estos períodos: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7B632A" w14:paraId="29AA2B9C"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1B3A6B"/>
            <w:tcMar>
              <w:top w:w="80" w:type="dxa"/>
              <w:left w:w="120" w:type="dxa"/>
              <w:bottom w:w="80" w:type="dxa"/>
              <w:right w:w="120" w:type="dxa"/>
            </w:tcMar>
          </w:tcPr>
          <w:p w14:paraId="14DF2C80" w14:textId="77777777" w:rsidR="007B632A" w:rsidRDefault="00000000">
            <w:pPr>
              <w:jc w:val="center"/>
            </w:pPr>
            <w:r>
              <w:rPr>
                <w:b/>
                <w:bCs/>
                <w:color w:val="FFFFFF"/>
                <w:sz w:val="18"/>
                <w:szCs w:val="18"/>
              </w:rPr>
              <w:t>Período de pico</w:t>
            </w:r>
          </w:p>
        </w:tc>
        <w:tc>
          <w:tcPr>
            <w:tcW w:w="2800" w:type="dxa"/>
            <w:tcBorders>
              <w:top w:val="single" w:sz="1" w:space="0" w:color="BDC3C7"/>
              <w:left w:val="single" w:sz="1" w:space="0" w:color="BDC3C7"/>
              <w:bottom w:val="single" w:sz="1" w:space="0" w:color="BDC3C7"/>
              <w:right w:val="single" w:sz="1" w:space="0" w:color="BDC3C7"/>
            </w:tcBorders>
            <w:shd w:val="clear" w:color="auto" w:fill="1B3A6B"/>
            <w:tcMar>
              <w:top w:w="80" w:type="dxa"/>
              <w:left w:w="120" w:type="dxa"/>
              <w:bottom w:w="80" w:type="dxa"/>
              <w:right w:w="120" w:type="dxa"/>
            </w:tcMar>
          </w:tcPr>
          <w:p w14:paraId="50BAEC10" w14:textId="77777777" w:rsidR="007B632A" w:rsidRDefault="00000000">
            <w:pPr>
              <w:jc w:val="center"/>
            </w:pPr>
            <w:r>
              <w:rPr>
                <w:b/>
                <w:bCs/>
                <w:color w:val="FFFFFF"/>
                <w:sz w:val="18"/>
                <w:szCs w:val="18"/>
              </w:rPr>
              <w:t>Meses de compra de stock</w:t>
            </w:r>
          </w:p>
        </w:tc>
        <w:tc>
          <w:tcPr>
            <w:tcW w:w="3760" w:type="dxa"/>
            <w:tcBorders>
              <w:top w:val="single" w:sz="1" w:space="0" w:color="BDC3C7"/>
              <w:left w:val="single" w:sz="1" w:space="0" w:color="BDC3C7"/>
              <w:bottom w:val="single" w:sz="1" w:space="0" w:color="BDC3C7"/>
              <w:right w:val="single" w:sz="1" w:space="0" w:color="BDC3C7"/>
            </w:tcBorders>
            <w:shd w:val="clear" w:color="auto" w:fill="1B3A6B"/>
            <w:tcMar>
              <w:top w:w="80" w:type="dxa"/>
              <w:left w:w="120" w:type="dxa"/>
              <w:bottom w:w="80" w:type="dxa"/>
              <w:right w:w="120" w:type="dxa"/>
            </w:tcMar>
          </w:tcPr>
          <w:p w14:paraId="2DFEF92E" w14:textId="77777777" w:rsidR="007B632A" w:rsidRDefault="00000000">
            <w:pPr>
              <w:jc w:val="center"/>
            </w:pPr>
            <w:r>
              <w:rPr>
                <w:b/>
                <w:bCs/>
                <w:color w:val="FFFFFF"/>
                <w:sz w:val="18"/>
                <w:szCs w:val="18"/>
              </w:rPr>
              <w:t>Razón</w:t>
            </w:r>
          </w:p>
        </w:tc>
      </w:tr>
      <w:tr w:rsidR="007B632A" w14:paraId="508D0115"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0057C79B" w14:textId="77777777" w:rsidR="007B632A" w:rsidRDefault="00000000">
            <w:r>
              <w:rPr>
                <w:color w:val="000000"/>
                <w:sz w:val="18"/>
                <w:szCs w:val="18"/>
              </w:rPr>
              <w:t xml:space="preserve">Abril – </w:t>
            </w:r>
            <w:proofErr w:type="gramStart"/>
            <w:r>
              <w:rPr>
                <w:color w:val="000000"/>
                <w:sz w:val="18"/>
                <w:szCs w:val="18"/>
              </w:rPr>
              <w:t>Junio</w:t>
            </w:r>
            <w:proofErr w:type="gramEnd"/>
            <w:r>
              <w:rPr>
                <w:color w:val="000000"/>
                <w:sz w:val="18"/>
                <w:szCs w:val="18"/>
              </w:rPr>
              <w:t xml:space="preserve"> 2026</w:t>
            </w:r>
          </w:p>
        </w:tc>
        <w:tc>
          <w:tcPr>
            <w:tcW w:w="280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4291472C" w14:textId="77777777" w:rsidR="007B632A" w:rsidRDefault="00000000">
            <w:r>
              <w:rPr>
                <w:color w:val="000000"/>
                <w:sz w:val="18"/>
                <w:szCs w:val="18"/>
              </w:rPr>
              <w:t xml:space="preserve">Febrero – </w:t>
            </w:r>
            <w:proofErr w:type="gramStart"/>
            <w:r>
              <w:rPr>
                <w:color w:val="000000"/>
                <w:sz w:val="18"/>
                <w:szCs w:val="18"/>
              </w:rPr>
              <w:t>Marzo</w:t>
            </w:r>
            <w:proofErr w:type="gramEnd"/>
            <w:r>
              <w:rPr>
                <w:color w:val="000000"/>
                <w:sz w:val="18"/>
                <w:szCs w:val="18"/>
              </w:rPr>
              <w:t xml:space="preserve"> 2026</w:t>
            </w:r>
          </w:p>
        </w:tc>
        <w:tc>
          <w:tcPr>
            <w:tcW w:w="376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5A642FDC" w14:textId="77777777" w:rsidR="007B632A" w:rsidRDefault="00000000">
            <w:r>
              <w:rPr>
                <w:color w:val="000000"/>
                <w:sz w:val="18"/>
                <w:szCs w:val="18"/>
              </w:rPr>
              <w:t xml:space="preserve">Giro </w:t>
            </w:r>
            <w:proofErr w:type="spellStart"/>
            <w:r>
              <w:rPr>
                <w:color w:val="000000"/>
                <w:sz w:val="18"/>
                <w:szCs w:val="18"/>
              </w:rPr>
              <w:t>d'Italia</w:t>
            </w:r>
            <w:proofErr w:type="spellEnd"/>
            <w:r>
              <w:rPr>
                <w:color w:val="000000"/>
                <w:sz w:val="18"/>
                <w:szCs w:val="18"/>
              </w:rPr>
              <w:t xml:space="preserve"> (</w:t>
            </w:r>
            <w:proofErr w:type="gramStart"/>
            <w:r>
              <w:rPr>
                <w:color w:val="000000"/>
                <w:sz w:val="18"/>
                <w:szCs w:val="18"/>
              </w:rPr>
              <w:t>Mayo</w:t>
            </w:r>
            <w:proofErr w:type="gramEnd"/>
            <w:r>
              <w:rPr>
                <w:color w:val="000000"/>
                <w:sz w:val="18"/>
                <w:szCs w:val="18"/>
              </w:rPr>
              <w:t>) y Tour de Francia (Julio)</w:t>
            </w:r>
          </w:p>
        </w:tc>
      </w:tr>
      <w:tr w:rsidR="007B632A" w14:paraId="1EC38861"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C6F6DA0" w14:textId="77777777" w:rsidR="007B632A" w:rsidRDefault="00000000">
            <w:r>
              <w:rPr>
                <w:color w:val="000000"/>
                <w:sz w:val="18"/>
                <w:szCs w:val="18"/>
              </w:rPr>
              <w:t>Agosto 2026</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9CD7BA6" w14:textId="77777777" w:rsidR="007B632A" w:rsidRDefault="00000000">
            <w:r>
              <w:rPr>
                <w:color w:val="000000"/>
                <w:sz w:val="18"/>
                <w:szCs w:val="18"/>
              </w:rPr>
              <w:t>Junio 2026</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B0D780F" w14:textId="77777777" w:rsidR="007B632A" w:rsidRDefault="00000000">
            <w:r>
              <w:rPr>
                <w:color w:val="000000"/>
                <w:sz w:val="18"/>
                <w:szCs w:val="18"/>
              </w:rPr>
              <w:t>Temporada de altura del ciclismo colombiano</w:t>
            </w:r>
          </w:p>
        </w:tc>
      </w:tr>
      <w:tr w:rsidR="007B632A" w14:paraId="15A17ACB"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4E53BC2B" w14:textId="77777777" w:rsidR="007B632A" w:rsidRDefault="00000000">
            <w:r>
              <w:rPr>
                <w:color w:val="000000"/>
                <w:sz w:val="18"/>
                <w:szCs w:val="18"/>
              </w:rPr>
              <w:t>Noviembre 2026</w:t>
            </w:r>
          </w:p>
        </w:tc>
        <w:tc>
          <w:tcPr>
            <w:tcW w:w="280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7D6689AB" w14:textId="77777777" w:rsidR="007B632A" w:rsidRDefault="00000000">
            <w:r>
              <w:rPr>
                <w:color w:val="000000"/>
                <w:sz w:val="18"/>
                <w:szCs w:val="18"/>
              </w:rPr>
              <w:t>Septiembre 2026</w:t>
            </w:r>
          </w:p>
        </w:tc>
        <w:tc>
          <w:tcPr>
            <w:tcW w:w="376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61BC7355" w14:textId="77777777" w:rsidR="007B632A" w:rsidRDefault="00000000">
            <w:r>
              <w:rPr>
                <w:color w:val="000000"/>
                <w:sz w:val="18"/>
                <w:szCs w:val="18"/>
              </w:rPr>
              <w:t>Cierre de temporada y regalos de fin de año</w:t>
            </w:r>
          </w:p>
        </w:tc>
      </w:tr>
    </w:tbl>
    <w:p w14:paraId="6EF07B56" w14:textId="77777777" w:rsidR="007B632A" w:rsidRDefault="007B632A">
      <w:pPr>
        <w:spacing w:before="80" w:after="80"/>
      </w:pPr>
    </w:p>
    <w:p w14:paraId="1AB877EC" w14:textId="77777777" w:rsidR="007B632A" w:rsidRDefault="00000000">
      <w:pPr>
        <w:pStyle w:val="Ttulo2"/>
        <w:spacing w:before="200" w:after="80"/>
      </w:pPr>
      <w:r>
        <w:rPr>
          <w:b/>
          <w:bCs/>
          <w:color w:val="2E75B6"/>
          <w:sz w:val="22"/>
          <w:szCs w:val="22"/>
        </w:rPr>
        <w:t>Recomendación 3 — Reducir la tasa de devoluciones (actualmente 10.64%)</w:t>
      </w:r>
    </w:p>
    <w:p w14:paraId="31DD5EF2" w14:textId="77777777" w:rsidR="007B632A" w:rsidRDefault="00000000">
      <w:pPr>
        <w:spacing w:before="60" w:after="60"/>
      </w:pPr>
      <w:r>
        <w:t>Las devoluciones son la segunda variable más influyente en el modelo (2.27%). En el peor mes registrado, el 61% de las ventas brutas fueron devueltas. Cada devolución no solo reduce las ventas netas, sino que genera costo logístico de retorno. Las causas más probables son inconformidad con la talla o el producto recibido. Se recomienda:</w:t>
      </w:r>
    </w:p>
    <w:p w14:paraId="149024F6" w14:textId="77777777" w:rsidR="007B632A" w:rsidRDefault="00000000">
      <w:pPr>
        <w:pStyle w:val="Prrafodelista"/>
        <w:numPr>
          <w:ilvl w:val="0"/>
          <w:numId w:val="2"/>
        </w:numPr>
        <w:spacing w:before="40" w:after="40"/>
      </w:pPr>
      <w:r>
        <w:t>Mejorar las guías de tallas en el sitio web (tabla detallada por género y tipo de cuerpo).</w:t>
      </w:r>
    </w:p>
    <w:p w14:paraId="78E6A9EF" w14:textId="77777777" w:rsidR="007B632A" w:rsidRDefault="00000000">
      <w:pPr>
        <w:pStyle w:val="Prrafodelista"/>
        <w:numPr>
          <w:ilvl w:val="0"/>
          <w:numId w:val="2"/>
        </w:numPr>
        <w:spacing w:before="40" w:after="40"/>
      </w:pPr>
      <w:r>
        <w:t>Incluir fotografías con modelo en diferentes tallas para cada producto.</w:t>
      </w:r>
    </w:p>
    <w:p w14:paraId="44123B59" w14:textId="77777777" w:rsidR="007B632A" w:rsidRDefault="00000000">
      <w:pPr>
        <w:pStyle w:val="Prrafodelista"/>
        <w:numPr>
          <w:ilvl w:val="0"/>
          <w:numId w:val="2"/>
        </w:numPr>
        <w:spacing w:before="40" w:after="40"/>
      </w:pPr>
      <w:r>
        <w:t>Implementar un chat de asesoría previa a la compra para productos de alto valor (&gt;$300,000 COP).</w:t>
      </w:r>
    </w:p>
    <w:p w14:paraId="0A7B9330" w14:textId="77777777" w:rsidR="007B632A" w:rsidRDefault="007B632A">
      <w:pPr>
        <w:spacing w:before="80" w:after="80"/>
      </w:pPr>
    </w:p>
    <w:p w14:paraId="41CA4159" w14:textId="77777777" w:rsidR="007B632A" w:rsidRDefault="00000000">
      <w:pPr>
        <w:pStyle w:val="Ttulo2"/>
        <w:spacing w:before="200" w:after="80"/>
      </w:pPr>
      <w:r>
        <w:rPr>
          <w:b/>
          <w:bCs/>
          <w:color w:val="2E75B6"/>
          <w:sz w:val="22"/>
          <w:szCs w:val="22"/>
        </w:rPr>
        <w:t>Recomendación 4 (Mediano plazo) — Explotar el potencial de Addi Payment</w:t>
      </w:r>
    </w:p>
    <w:p w14:paraId="0739D3EB" w14:textId="77777777" w:rsidR="007B632A" w:rsidRDefault="00000000">
      <w:pPr>
        <w:spacing w:before="60" w:after="60"/>
      </w:pPr>
      <w:r>
        <w:t xml:space="preserve">El 70.3% de los pedidos se financia a cuotas mediante Addi Payment. Esta modalidad elimina la barrera del precio y explica por qué el </w:t>
      </w:r>
      <w:proofErr w:type="gramStart"/>
      <w:r>
        <w:t>ticket</w:t>
      </w:r>
      <w:proofErr w:type="gramEnd"/>
      <w:r>
        <w:t xml:space="preserve"> promedio ($171,407 por producto) es relativamente alto para ropa deportiva. Se recomienda:</w:t>
      </w:r>
    </w:p>
    <w:p w14:paraId="50839704" w14:textId="77777777" w:rsidR="007B632A" w:rsidRDefault="00000000">
      <w:pPr>
        <w:pStyle w:val="Prrafodelista"/>
        <w:numPr>
          <w:ilvl w:val="0"/>
          <w:numId w:val="2"/>
        </w:numPr>
        <w:spacing w:before="40" w:after="40"/>
      </w:pPr>
      <w:proofErr w:type="gramStart"/>
      <w:r>
        <w:t>Destacar</w:t>
      </w:r>
      <w:proofErr w:type="gramEnd"/>
      <w:r>
        <w:t xml:space="preserve"> "Págalo en cuotas sin interés" como mensaje principal en campañas de redes sociales.</w:t>
      </w:r>
    </w:p>
    <w:p w14:paraId="63455A94" w14:textId="77777777" w:rsidR="007B632A" w:rsidRDefault="00000000">
      <w:pPr>
        <w:pStyle w:val="Prrafodelista"/>
        <w:numPr>
          <w:ilvl w:val="0"/>
          <w:numId w:val="2"/>
        </w:numPr>
        <w:spacing w:before="40" w:after="40"/>
      </w:pPr>
      <w:r>
        <w:t>Ofrecer combos o kits completos (jersey + pantaloneta + calcetines) aprovechando que el financiamiento los hace accesibles.</w:t>
      </w:r>
    </w:p>
    <w:p w14:paraId="76B0CFB5" w14:textId="77777777" w:rsidR="007B632A" w:rsidRDefault="00000000">
      <w:pPr>
        <w:pStyle w:val="Prrafodelista"/>
        <w:numPr>
          <w:ilvl w:val="0"/>
          <w:numId w:val="2"/>
        </w:numPr>
        <w:spacing w:before="40" w:after="40"/>
      </w:pPr>
      <w:r>
        <w:t xml:space="preserve">Negociar con Addi Payment visibilidad adicional en su </w:t>
      </w:r>
      <w:proofErr w:type="spellStart"/>
      <w:r>
        <w:t>marketplace</w:t>
      </w:r>
      <w:proofErr w:type="spellEnd"/>
      <w:r>
        <w:t xml:space="preserve"> o comunicaciones a sus usuarios.</w:t>
      </w:r>
    </w:p>
    <w:p w14:paraId="781D3AD4" w14:textId="77777777" w:rsidR="007B632A" w:rsidRDefault="007B632A">
      <w:pPr>
        <w:spacing w:before="80" w:after="80"/>
      </w:pPr>
    </w:p>
    <w:p w14:paraId="1466BC66" w14:textId="77777777" w:rsidR="007B632A" w:rsidRDefault="007B632A">
      <w:pPr>
        <w:pBdr>
          <w:bottom w:val="single" w:sz="4" w:space="0" w:color="2E75B6"/>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32A" w14:paraId="3BCAAA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180" w:type="dxa"/>
              <w:bottom w:w="120" w:type="dxa"/>
              <w:right w:w="180" w:type="dxa"/>
            </w:tcMar>
          </w:tcPr>
          <w:p w14:paraId="44563F64" w14:textId="77777777" w:rsidR="007B632A" w:rsidRDefault="00000000">
            <w:r>
              <w:rPr>
                <w:b/>
                <w:bCs/>
                <w:color w:val="FFFFFF"/>
                <w:sz w:val="24"/>
                <w:szCs w:val="24"/>
              </w:rPr>
              <w:lastRenderedPageBreak/>
              <w:t>6. Limitaciones y Trabajo Futuro</w:t>
            </w:r>
          </w:p>
        </w:tc>
      </w:tr>
    </w:tbl>
    <w:p w14:paraId="690970FE" w14:textId="77777777" w:rsidR="007B632A" w:rsidRDefault="007B632A">
      <w:pPr>
        <w:spacing w:before="80" w:after="80"/>
      </w:pPr>
    </w:p>
    <w:p w14:paraId="2A40AD85" w14:textId="77777777" w:rsidR="007B632A" w:rsidRDefault="00000000">
      <w:pPr>
        <w:spacing w:before="60" w:after="60"/>
      </w:pPr>
      <w:r>
        <w:t>La transparencia sobre lo que el modelo no puede hacer es tan importante como sus capacidades. Las siguientes limitaciones deben tenerse en cuenta al tomar decisiones basadas en las predicciones.</w:t>
      </w:r>
    </w:p>
    <w:p w14:paraId="0E4D9AB7" w14:textId="77777777" w:rsidR="007B632A" w:rsidRDefault="007B632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880"/>
        <w:gridCol w:w="3780"/>
      </w:tblGrid>
      <w:tr w:rsidR="007B632A" w14:paraId="48839E9F"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1B3A6B"/>
            <w:tcMar>
              <w:top w:w="80" w:type="dxa"/>
              <w:left w:w="120" w:type="dxa"/>
              <w:bottom w:w="80" w:type="dxa"/>
              <w:right w:w="120" w:type="dxa"/>
            </w:tcMar>
          </w:tcPr>
          <w:p w14:paraId="52351853" w14:textId="77777777" w:rsidR="007B632A" w:rsidRDefault="00000000">
            <w:pPr>
              <w:jc w:val="center"/>
            </w:pPr>
            <w:r>
              <w:rPr>
                <w:b/>
                <w:bCs/>
                <w:color w:val="FFFFFF"/>
                <w:sz w:val="18"/>
                <w:szCs w:val="18"/>
              </w:rPr>
              <w:t>Limitación</w:t>
            </w:r>
          </w:p>
        </w:tc>
        <w:tc>
          <w:tcPr>
            <w:tcW w:w="2880" w:type="dxa"/>
            <w:tcBorders>
              <w:top w:val="single" w:sz="1" w:space="0" w:color="BDC3C7"/>
              <w:left w:val="single" w:sz="1" w:space="0" w:color="BDC3C7"/>
              <w:bottom w:val="single" w:sz="1" w:space="0" w:color="BDC3C7"/>
              <w:right w:val="single" w:sz="1" w:space="0" w:color="BDC3C7"/>
            </w:tcBorders>
            <w:shd w:val="clear" w:color="auto" w:fill="1B3A6B"/>
            <w:tcMar>
              <w:top w:w="80" w:type="dxa"/>
              <w:left w:w="120" w:type="dxa"/>
              <w:bottom w:w="80" w:type="dxa"/>
              <w:right w:w="120" w:type="dxa"/>
            </w:tcMar>
          </w:tcPr>
          <w:p w14:paraId="59F30AAF" w14:textId="77777777" w:rsidR="007B632A" w:rsidRDefault="00000000">
            <w:pPr>
              <w:jc w:val="center"/>
            </w:pPr>
            <w:r>
              <w:rPr>
                <w:b/>
                <w:bCs/>
                <w:color w:val="FFFFFF"/>
                <w:sz w:val="18"/>
                <w:szCs w:val="18"/>
              </w:rPr>
              <w:t>Impacto en el negocio</w:t>
            </w:r>
          </w:p>
        </w:tc>
        <w:tc>
          <w:tcPr>
            <w:tcW w:w="3780" w:type="dxa"/>
            <w:tcBorders>
              <w:top w:val="single" w:sz="1" w:space="0" w:color="BDC3C7"/>
              <w:left w:val="single" w:sz="1" w:space="0" w:color="BDC3C7"/>
              <w:bottom w:val="single" w:sz="1" w:space="0" w:color="BDC3C7"/>
              <w:right w:val="single" w:sz="1" w:space="0" w:color="BDC3C7"/>
            </w:tcBorders>
            <w:shd w:val="clear" w:color="auto" w:fill="1B3A6B"/>
            <w:tcMar>
              <w:top w:w="80" w:type="dxa"/>
              <w:left w:w="120" w:type="dxa"/>
              <w:bottom w:w="80" w:type="dxa"/>
              <w:right w:w="120" w:type="dxa"/>
            </w:tcMar>
          </w:tcPr>
          <w:p w14:paraId="5BEDAFF1" w14:textId="77777777" w:rsidR="007B632A" w:rsidRDefault="00000000">
            <w:pPr>
              <w:jc w:val="center"/>
            </w:pPr>
            <w:r>
              <w:rPr>
                <w:b/>
                <w:bCs/>
                <w:color w:val="FFFFFF"/>
                <w:sz w:val="18"/>
                <w:szCs w:val="18"/>
              </w:rPr>
              <w:t>Cómo resolverla</w:t>
            </w:r>
          </w:p>
        </w:tc>
      </w:tr>
      <w:tr w:rsidR="007B632A" w14:paraId="1C8C8BD7"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7C690D14" w14:textId="77777777" w:rsidR="007B632A" w:rsidRDefault="00000000">
            <w:r>
              <w:rPr>
                <w:color w:val="000000"/>
                <w:sz w:val="18"/>
                <w:szCs w:val="18"/>
              </w:rPr>
              <w:t>El modelo predice ventas totales, no por producto ni categoría</w:t>
            </w:r>
          </w:p>
        </w:tc>
        <w:tc>
          <w:tcPr>
            <w:tcW w:w="288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6527B7DE" w14:textId="77777777" w:rsidR="007B632A" w:rsidRDefault="00000000">
            <w:r>
              <w:rPr>
                <w:color w:val="000000"/>
                <w:sz w:val="18"/>
                <w:szCs w:val="18"/>
              </w:rPr>
              <w:t>No permite decidir cuántas unidades de cada referencia comprar</w:t>
            </w:r>
          </w:p>
        </w:tc>
        <w:tc>
          <w:tcPr>
            <w:tcW w:w="378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3FC5A660" w14:textId="77777777" w:rsidR="007B632A" w:rsidRDefault="00000000">
            <w:r>
              <w:rPr>
                <w:color w:val="000000"/>
                <w:sz w:val="18"/>
                <w:szCs w:val="18"/>
              </w:rPr>
              <w:t>Desarrollar modelos separados para Jersey, Pantaloneta y Camiseta (6 meses de trabajo)</w:t>
            </w:r>
          </w:p>
        </w:tc>
      </w:tr>
      <w:tr w:rsidR="007B632A" w14:paraId="38ADCDA3"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56DD7E36" w14:textId="77777777" w:rsidR="007B632A" w:rsidRDefault="00000000">
            <w:r>
              <w:rPr>
                <w:color w:val="000000"/>
                <w:sz w:val="18"/>
                <w:szCs w:val="18"/>
              </w:rPr>
              <w:t>Sin información de publicidad o campañas de marketing</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0A3FC5EC" w14:textId="77777777" w:rsidR="007B632A" w:rsidRDefault="00000000">
            <w:r>
              <w:rPr>
                <w:color w:val="000000"/>
                <w:sz w:val="18"/>
                <w:szCs w:val="18"/>
              </w:rPr>
              <w:t>No anticipa el efecto de una campaña en Facebook o Instagram activa</w:t>
            </w:r>
          </w:p>
        </w:tc>
        <w:tc>
          <w:tcPr>
            <w:tcW w:w="37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4B989C37" w14:textId="77777777" w:rsidR="007B632A" w:rsidRDefault="00000000">
            <w:r>
              <w:rPr>
                <w:color w:val="000000"/>
                <w:sz w:val="18"/>
                <w:szCs w:val="18"/>
              </w:rPr>
              <w:t xml:space="preserve">Integrar datos de Meta </w:t>
            </w:r>
            <w:proofErr w:type="spellStart"/>
            <w:r>
              <w:rPr>
                <w:color w:val="000000"/>
                <w:sz w:val="18"/>
                <w:szCs w:val="18"/>
              </w:rPr>
              <w:t>Ads</w:t>
            </w:r>
            <w:proofErr w:type="spellEnd"/>
            <w:r>
              <w:rPr>
                <w:color w:val="000000"/>
                <w:sz w:val="18"/>
                <w:szCs w:val="18"/>
              </w:rPr>
              <w:t xml:space="preserve"> y Google </w:t>
            </w:r>
            <w:proofErr w:type="spellStart"/>
            <w:r>
              <w:rPr>
                <w:color w:val="000000"/>
                <w:sz w:val="18"/>
                <w:szCs w:val="18"/>
              </w:rPr>
              <w:t>Ads</w:t>
            </w:r>
            <w:proofErr w:type="spellEnd"/>
            <w:r>
              <w:rPr>
                <w:color w:val="000000"/>
                <w:sz w:val="18"/>
                <w:szCs w:val="18"/>
              </w:rPr>
              <w:t xml:space="preserve"> con el historial de ventas</w:t>
            </w:r>
          </w:p>
        </w:tc>
      </w:tr>
      <w:tr w:rsidR="007B632A" w14:paraId="4788E07B"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7EB6B004" w14:textId="77777777" w:rsidR="007B632A" w:rsidRDefault="00000000">
            <w:r>
              <w:rPr>
                <w:color w:val="000000"/>
                <w:sz w:val="18"/>
                <w:szCs w:val="18"/>
              </w:rPr>
              <w:t>Los picos extremos generan errores grandes</w:t>
            </w:r>
          </w:p>
        </w:tc>
        <w:tc>
          <w:tcPr>
            <w:tcW w:w="288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418B866F" w14:textId="77777777" w:rsidR="007B632A" w:rsidRDefault="00000000">
            <w:r>
              <w:rPr>
                <w:color w:val="000000"/>
                <w:sz w:val="18"/>
                <w:szCs w:val="18"/>
              </w:rPr>
              <w:t>En días de lanzamiento masivo, el error puede superar $700,000 COP</w:t>
            </w:r>
          </w:p>
        </w:tc>
        <w:tc>
          <w:tcPr>
            <w:tcW w:w="378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20B12944" w14:textId="77777777" w:rsidR="007B632A" w:rsidRDefault="00000000">
            <w:r>
              <w:rPr>
                <w:color w:val="000000"/>
                <w:sz w:val="18"/>
                <w:szCs w:val="18"/>
              </w:rPr>
              <w:t>Agregar una variable binaria "campaña activa" que avise al modelo cuando hay una promoción</w:t>
            </w:r>
          </w:p>
        </w:tc>
      </w:tr>
      <w:tr w:rsidR="007B632A" w14:paraId="2A17B316"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6918B329" w14:textId="77777777" w:rsidR="007B632A" w:rsidRDefault="00000000">
            <w:r>
              <w:rPr>
                <w:color w:val="000000"/>
                <w:sz w:val="18"/>
                <w:szCs w:val="18"/>
              </w:rPr>
              <w:t>Horizonte de predicción corto (1 día)</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739E1BFC" w14:textId="77777777" w:rsidR="007B632A" w:rsidRDefault="00000000">
            <w:r>
              <w:rPr>
                <w:color w:val="000000"/>
                <w:sz w:val="18"/>
                <w:szCs w:val="18"/>
              </w:rPr>
              <w:t>Solo predice el día siguiente con alta precisión</w:t>
            </w:r>
          </w:p>
        </w:tc>
        <w:tc>
          <w:tcPr>
            <w:tcW w:w="378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20" w:type="dxa"/>
              <w:bottom w:w="60" w:type="dxa"/>
              <w:right w:w="120" w:type="dxa"/>
            </w:tcMar>
          </w:tcPr>
          <w:p w14:paraId="13A48890" w14:textId="77777777" w:rsidR="007B632A" w:rsidRDefault="00000000">
            <w:r>
              <w:rPr>
                <w:color w:val="000000"/>
                <w:sz w:val="18"/>
                <w:szCs w:val="18"/>
              </w:rPr>
              <w:t>Implementar modelo Prophet o ARIMA para predicciones a 30-90 días</w:t>
            </w:r>
          </w:p>
        </w:tc>
      </w:tr>
      <w:tr w:rsidR="007B632A" w14:paraId="774A1CD8"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6A3E245D" w14:textId="77777777" w:rsidR="007B632A" w:rsidRDefault="00000000">
            <w:r>
              <w:rPr>
                <w:color w:val="000000"/>
                <w:sz w:val="18"/>
                <w:szCs w:val="18"/>
              </w:rPr>
              <w:t>21.3% de registros completados con IA</w:t>
            </w:r>
          </w:p>
        </w:tc>
        <w:tc>
          <w:tcPr>
            <w:tcW w:w="288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6D05E7AA" w14:textId="77777777" w:rsidR="007B632A" w:rsidRDefault="00000000">
            <w:r>
              <w:rPr>
                <w:color w:val="000000"/>
                <w:sz w:val="18"/>
                <w:szCs w:val="18"/>
              </w:rPr>
              <w:t>Introduce ruido en los datos históricos</w:t>
            </w:r>
          </w:p>
        </w:tc>
        <w:tc>
          <w:tcPr>
            <w:tcW w:w="3780" w:type="dxa"/>
            <w:tcBorders>
              <w:top w:val="single" w:sz="1" w:space="0" w:color="BDC3C7"/>
              <w:left w:val="single" w:sz="1" w:space="0" w:color="BDC3C7"/>
              <w:bottom w:val="single" w:sz="1" w:space="0" w:color="BDC3C7"/>
              <w:right w:val="single" w:sz="1" w:space="0" w:color="BDC3C7"/>
            </w:tcBorders>
            <w:shd w:val="clear" w:color="auto" w:fill="F2F4F7"/>
            <w:tcMar>
              <w:top w:w="60" w:type="dxa"/>
              <w:left w:w="120" w:type="dxa"/>
              <w:bottom w:w="60" w:type="dxa"/>
              <w:right w:w="120" w:type="dxa"/>
            </w:tcMar>
          </w:tcPr>
          <w:p w14:paraId="16954378" w14:textId="77777777" w:rsidR="007B632A" w:rsidRDefault="00000000">
            <w:r>
              <w:rPr>
                <w:color w:val="000000"/>
                <w:sz w:val="18"/>
                <w:szCs w:val="18"/>
              </w:rPr>
              <w:t>Mejorar la captura de datos en Shopify para reducir campos faltantes</w:t>
            </w:r>
          </w:p>
        </w:tc>
      </w:tr>
    </w:tbl>
    <w:p w14:paraId="71418AE5" w14:textId="77777777" w:rsidR="007B632A" w:rsidRDefault="007B632A">
      <w:pPr>
        <w:spacing w:before="80" w:after="80"/>
      </w:pPr>
    </w:p>
    <w:p w14:paraId="7A7A59EA" w14:textId="77777777" w:rsidR="007B632A" w:rsidRDefault="00000000">
      <w:pPr>
        <w:pStyle w:val="Ttulo2"/>
        <w:spacing w:before="200" w:after="80"/>
      </w:pPr>
      <w:r>
        <w:rPr>
          <w:b/>
          <w:bCs/>
          <w:color w:val="2E75B6"/>
          <w:sz w:val="22"/>
          <w:szCs w:val="22"/>
        </w:rPr>
        <w:t>Próximos pasos recomendados para el equipo técnico</w:t>
      </w:r>
    </w:p>
    <w:p w14:paraId="42D86769" w14:textId="77777777" w:rsidR="007B632A" w:rsidRDefault="00000000">
      <w:pPr>
        <w:pStyle w:val="Prrafodelista"/>
        <w:numPr>
          <w:ilvl w:val="0"/>
          <w:numId w:val="2"/>
        </w:numPr>
        <w:spacing w:before="40" w:after="40"/>
      </w:pPr>
      <w:r>
        <w:t xml:space="preserve">Optimización de </w:t>
      </w:r>
      <w:proofErr w:type="spellStart"/>
      <w:r>
        <w:t>hiperparámetros</w:t>
      </w:r>
      <w:proofErr w:type="spellEnd"/>
      <w:r>
        <w:t xml:space="preserve"> del modelo (ajuste fino de </w:t>
      </w:r>
      <w:proofErr w:type="spellStart"/>
      <w:r>
        <w:t>learning_rate</w:t>
      </w:r>
      <w:proofErr w:type="spellEnd"/>
      <w:r>
        <w:t xml:space="preserve"> y </w:t>
      </w:r>
      <w:proofErr w:type="spellStart"/>
      <w:r>
        <w:t>max_depth</w:t>
      </w:r>
      <w:proofErr w:type="spellEnd"/>
      <w:r>
        <w:t>) para ganar 2-3 puntos adicionales de R².</w:t>
      </w:r>
    </w:p>
    <w:p w14:paraId="0303F54C" w14:textId="77777777" w:rsidR="007B632A" w:rsidRDefault="00000000">
      <w:pPr>
        <w:pStyle w:val="Prrafodelista"/>
        <w:numPr>
          <w:ilvl w:val="0"/>
          <w:numId w:val="2"/>
        </w:numPr>
        <w:spacing w:before="40" w:after="40"/>
      </w:pPr>
      <w:r>
        <w:t>Construcción de un pipeline automático que actualice el modelo mensualmente con datos nuevos de Shopify.</w:t>
      </w:r>
    </w:p>
    <w:p w14:paraId="49E62965" w14:textId="77777777" w:rsidR="007B632A" w:rsidRDefault="00000000">
      <w:pPr>
        <w:pStyle w:val="Prrafodelista"/>
        <w:numPr>
          <w:ilvl w:val="0"/>
          <w:numId w:val="2"/>
        </w:numPr>
        <w:spacing w:before="40" w:after="40"/>
      </w:pPr>
      <w:r>
        <w:t>Desarrollo de un tablero de control (</w:t>
      </w:r>
      <w:proofErr w:type="spellStart"/>
      <w:r>
        <w:t>dashboard</w:t>
      </w:r>
      <w:proofErr w:type="spellEnd"/>
      <w:r>
        <w:t>) que muestre la predicción del día siguiente y compare con las ventas reales.</w:t>
      </w:r>
    </w:p>
    <w:p w14:paraId="1DCED7CB" w14:textId="77777777" w:rsidR="007B632A" w:rsidRDefault="00000000">
      <w:pPr>
        <w:pStyle w:val="Prrafodelista"/>
        <w:numPr>
          <w:ilvl w:val="0"/>
          <w:numId w:val="2"/>
        </w:numPr>
        <w:spacing w:before="40" w:after="40"/>
      </w:pPr>
      <w:r>
        <w:t>Exploración de modelos de series de tiempo (Prophet de Meta o LSTM) para predicciones a horizonte mensual.</w:t>
      </w:r>
    </w:p>
    <w:p w14:paraId="233957E5" w14:textId="77777777" w:rsidR="007B632A" w:rsidRDefault="007B632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632A" w14:paraId="64E6EC5A"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D6E4F0"/>
            <w:tcMar>
              <w:top w:w="180" w:type="dxa"/>
              <w:left w:w="240" w:type="dxa"/>
              <w:bottom w:w="180" w:type="dxa"/>
              <w:right w:w="240" w:type="dxa"/>
            </w:tcMar>
          </w:tcPr>
          <w:p w14:paraId="69EDBB2A" w14:textId="77777777" w:rsidR="007B632A" w:rsidRDefault="00000000">
            <w:proofErr w:type="gramStart"/>
            <w:r>
              <w:rPr>
                <w:b/>
                <w:bCs/>
                <w:color w:val="1B3A6B"/>
                <w:sz w:val="22"/>
                <w:szCs w:val="22"/>
              </w:rPr>
              <w:t>Conclusión final</w:t>
            </w:r>
            <w:proofErr w:type="gramEnd"/>
          </w:p>
          <w:p w14:paraId="60322554" w14:textId="77777777" w:rsidR="007B632A" w:rsidRDefault="007B632A">
            <w:pPr>
              <w:spacing w:before="80" w:after="80"/>
            </w:pPr>
          </w:p>
          <w:p w14:paraId="7ECEF701" w14:textId="77777777" w:rsidR="007B632A" w:rsidRDefault="00000000">
            <w:r>
              <w:rPr>
                <w:i/>
                <w:iCs/>
                <w:color w:val="1B3A6B"/>
              </w:rPr>
              <w:t xml:space="preserve">Eleven Pro tiene los datos, el historial y la estructura de negocio para operar con predicciones confiables de ventas desde hoy. El modelo </w:t>
            </w:r>
            <w:proofErr w:type="spellStart"/>
            <w:r>
              <w:rPr>
                <w:i/>
                <w:iCs/>
                <w:color w:val="1B3A6B"/>
              </w:rPr>
              <w:t>Gradient</w:t>
            </w:r>
            <w:proofErr w:type="spellEnd"/>
            <w:r>
              <w:rPr>
                <w:i/>
                <w:iCs/>
                <w:color w:val="1B3A6B"/>
              </w:rPr>
              <w:t xml:space="preserve"> </w:t>
            </w:r>
            <w:proofErr w:type="spellStart"/>
            <w:r>
              <w:rPr>
                <w:i/>
                <w:iCs/>
                <w:color w:val="1B3A6B"/>
              </w:rPr>
              <w:t>Boosting</w:t>
            </w:r>
            <w:proofErr w:type="spellEnd"/>
            <w:r>
              <w:rPr>
                <w:i/>
                <w:iCs/>
                <w:color w:val="1B3A6B"/>
              </w:rPr>
              <w:t xml:space="preserve">, con un error del 12.3%, es suficientemente preciso para tomar decisiones de inventario y logística que actualmente se hacen por intuición. El mayor riesgo no es tecnológico: es no usar la información que ya existe. Con una implementación básica de este modelo como herramienta semanal de planificación, la tienda puede reducir el </w:t>
            </w:r>
            <w:proofErr w:type="spellStart"/>
            <w:r>
              <w:rPr>
                <w:i/>
                <w:iCs/>
                <w:color w:val="1B3A6B"/>
              </w:rPr>
              <w:t>sobrestock</w:t>
            </w:r>
            <w:proofErr w:type="spellEnd"/>
            <w:r>
              <w:rPr>
                <w:i/>
                <w:iCs/>
                <w:color w:val="1B3A6B"/>
              </w:rPr>
              <w:t xml:space="preserve"> y el desabastecimiento, mejorar el nivel de servicio al cliente y liberar capital de trabajo actualmente inmovilizado en inventario mal dimensionado.</w:t>
            </w:r>
          </w:p>
        </w:tc>
      </w:tr>
    </w:tbl>
    <w:p w14:paraId="0A0636CE" w14:textId="77777777" w:rsidR="007B632A" w:rsidRDefault="007B632A">
      <w:pPr>
        <w:spacing w:before="80" w:after="80"/>
      </w:pPr>
    </w:p>
    <w:p w14:paraId="2B7124D9" w14:textId="77777777" w:rsidR="007B632A" w:rsidRDefault="00000000">
      <w:pPr>
        <w:spacing w:before="60"/>
        <w:jc w:val="center"/>
      </w:pPr>
      <w:r>
        <w:rPr>
          <w:i/>
          <w:iCs/>
          <w:color w:val="888888"/>
          <w:sz w:val="16"/>
          <w:szCs w:val="16"/>
        </w:rPr>
        <w:t xml:space="preserve">Elaborado por el Semillero de Analítica · INTEP Roldanillo Valle · </w:t>
      </w:r>
      <w:proofErr w:type="gramStart"/>
      <w:r>
        <w:rPr>
          <w:i/>
          <w:iCs/>
          <w:color w:val="888888"/>
          <w:sz w:val="16"/>
          <w:szCs w:val="16"/>
        </w:rPr>
        <w:t>Abril</w:t>
      </w:r>
      <w:proofErr w:type="gramEnd"/>
      <w:r>
        <w:rPr>
          <w:i/>
          <w:iCs/>
          <w:color w:val="888888"/>
          <w:sz w:val="16"/>
          <w:szCs w:val="16"/>
        </w:rPr>
        <w:t xml:space="preserve"> 2026</w:t>
      </w:r>
    </w:p>
    <w:sectPr w:rsidR="007B632A">
      <w:head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16B66" w14:textId="77777777" w:rsidR="00A3793D" w:rsidRDefault="00A3793D">
      <w:r>
        <w:separator/>
      </w:r>
    </w:p>
  </w:endnote>
  <w:endnote w:type="continuationSeparator" w:id="0">
    <w:p w14:paraId="3C1C0391" w14:textId="77777777" w:rsidR="00A3793D" w:rsidRDefault="00A379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C379C" w14:textId="77777777" w:rsidR="00A3793D" w:rsidRDefault="00A3793D">
      <w:r>
        <w:separator/>
      </w:r>
    </w:p>
  </w:footnote>
  <w:footnote w:type="continuationSeparator" w:id="0">
    <w:p w14:paraId="1D7083A3" w14:textId="77777777" w:rsidR="00A3793D" w:rsidRDefault="00A379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DF972" w14:textId="77777777" w:rsidR="007B632A" w:rsidRDefault="00000000">
    <w:pPr>
      <w:pBdr>
        <w:bottom w:val="single" w:sz="3" w:space="0" w:color="2E75B6"/>
      </w:pBdr>
      <w:spacing w:after="60"/>
      <w:jc w:val="right"/>
    </w:pPr>
    <w:r>
      <w:rPr>
        <w:color w:val="888888"/>
        <w:sz w:val="16"/>
        <w:szCs w:val="16"/>
      </w:rPr>
      <w:t xml:space="preserve">ELEVEN PRO — Informe de Predicción de Ventas   </w:t>
    </w:r>
    <w:r>
      <w:rPr>
        <w:color w:val="888888"/>
        <w:sz w:val="16"/>
        <w:szCs w:val="16"/>
      </w:rPr>
      <w:fldChar w:fldCharType="begin"/>
    </w:r>
    <w:r>
      <w:rPr>
        <w:color w:val="888888"/>
        <w:sz w:val="16"/>
        <w:szCs w:val="16"/>
      </w:rPr>
      <w:instrText>PAGE</w:instrText>
    </w:r>
    <w:r>
      <w:rPr>
        <w:color w:val="888888"/>
        <w:sz w:val="16"/>
        <w:szCs w:val="16"/>
      </w:rPr>
      <w:fldChar w:fldCharType="separate"/>
    </w:r>
    <w:r w:rsidR="00CB1732">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CB1732">
      <w:rPr>
        <w:noProof/>
        <w:color w:val="888888"/>
        <w:sz w:val="16"/>
        <w:szCs w:val="16"/>
      </w:rPr>
      <w:t>2</w:t>
    </w:r>
    <w:r>
      <w:rPr>
        <w:color w:val="888888"/>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034E6"/>
    <w:multiLevelType w:val="hybridMultilevel"/>
    <w:tmpl w:val="209E90C0"/>
    <w:lvl w:ilvl="0" w:tplc="99C2263E">
      <w:start w:val="1"/>
      <w:numFmt w:val="bullet"/>
      <w:lvlText w:val="•"/>
      <w:lvlJc w:val="left"/>
      <w:pPr>
        <w:ind w:left="540" w:hanging="360"/>
      </w:pPr>
    </w:lvl>
    <w:lvl w:ilvl="1" w:tplc="900EDB4A">
      <w:numFmt w:val="decimal"/>
      <w:lvlText w:val=""/>
      <w:lvlJc w:val="left"/>
    </w:lvl>
    <w:lvl w:ilvl="2" w:tplc="3FB6B864">
      <w:numFmt w:val="decimal"/>
      <w:lvlText w:val=""/>
      <w:lvlJc w:val="left"/>
    </w:lvl>
    <w:lvl w:ilvl="3" w:tplc="6C628D02">
      <w:numFmt w:val="decimal"/>
      <w:lvlText w:val=""/>
      <w:lvlJc w:val="left"/>
    </w:lvl>
    <w:lvl w:ilvl="4" w:tplc="F8C8DC0A">
      <w:numFmt w:val="decimal"/>
      <w:lvlText w:val=""/>
      <w:lvlJc w:val="left"/>
    </w:lvl>
    <w:lvl w:ilvl="5" w:tplc="E7DC9CC0">
      <w:numFmt w:val="decimal"/>
      <w:lvlText w:val=""/>
      <w:lvlJc w:val="left"/>
    </w:lvl>
    <w:lvl w:ilvl="6" w:tplc="D7186036">
      <w:numFmt w:val="decimal"/>
      <w:lvlText w:val=""/>
      <w:lvlJc w:val="left"/>
    </w:lvl>
    <w:lvl w:ilvl="7" w:tplc="95BCB672">
      <w:numFmt w:val="decimal"/>
      <w:lvlText w:val=""/>
      <w:lvlJc w:val="left"/>
    </w:lvl>
    <w:lvl w:ilvl="8" w:tplc="E168CCF4">
      <w:numFmt w:val="decimal"/>
      <w:lvlText w:val=""/>
      <w:lvlJc w:val="left"/>
    </w:lvl>
  </w:abstractNum>
  <w:abstractNum w:abstractNumId="1" w15:restartNumberingAfterBreak="0">
    <w:nsid w:val="6ADB3398"/>
    <w:multiLevelType w:val="hybridMultilevel"/>
    <w:tmpl w:val="CC58E37E"/>
    <w:lvl w:ilvl="0" w:tplc="DF3E0B48">
      <w:start w:val="1"/>
      <w:numFmt w:val="bullet"/>
      <w:lvlText w:val="●"/>
      <w:lvlJc w:val="left"/>
      <w:pPr>
        <w:ind w:left="720" w:hanging="360"/>
      </w:pPr>
    </w:lvl>
    <w:lvl w:ilvl="1" w:tplc="25708874">
      <w:start w:val="1"/>
      <w:numFmt w:val="bullet"/>
      <w:lvlText w:val="○"/>
      <w:lvlJc w:val="left"/>
      <w:pPr>
        <w:ind w:left="1440" w:hanging="360"/>
      </w:pPr>
    </w:lvl>
    <w:lvl w:ilvl="2" w:tplc="69404B38">
      <w:start w:val="1"/>
      <w:numFmt w:val="bullet"/>
      <w:lvlText w:val="■"/>
      <w:lvlJc w:val="left"/>
      <w:pPr>
        <w:ind w:left="2160" w:hanging="360"/>
      </w:pPr>
    </w:lvl>
    <w:lvl w:ilvl="3" w:tplc="00A03C7A">
      <w:start w:val="1"/>
      <w:numFmt w:val="bullet"/>
      <w:lvlText w:val="●"/>
      <w:lvlJc w:val="left"/>
      <w:pPr>
        <w:ind w:left="2880" w:hanging="360"/>
      </w:pPr>
    </w:lvl>
    <w:lvl w:ilvl="4" w:tplc="A8101892">
      <w:start w:val="1"/>
      <w:numFmt w:val="bullet"/>
      <w:lvlText w:val="○"/>
      <w:lvlJc w:val="left"/>
      <w:pPr>
        <w:ind w:left="3600" w:hanging="360"/>
      </w:pPr>
    </w:lvl>
    <w:lvl w:ilvl="5" w:tplc="09D2350A">
      <w:start w:val="1"/>
      <w:numFmt w:val="bullet"/>
      <w:lvlText w:val="■"/>
      <w:lvlJc w:val="left"/>
      <w:pPr>
        <w:ind w:left="4320" w:hanging="360"/>
      </w:pPr>
    </w:lvl>
    <w:lvl w:ilvl="6" w:tplc="1820C8EA">
      <w:start w:val="1"/>
      <w:numFmt w:val="bullet"/>
      <w:lvlText w:val="●"/>
      <w:lvlJc w:val="left"/>
      <w:pPr>
        <w:ind w:left="5040" w:hanging="360"/>
      </w:pPr>
    </w:lvl>
    <w:lvl w:ilvl="7" w:tplc="57FE0B12">
      <w:start w:val="1"/>
      <w:numFmt w:val="bullet"/>
      <w:lvlText w:val="●"/>
      <w:lvlJc w:val="left"/>
      <w:pPr>
        <w:ind w:left="5760" w:hanging="360"/>
      </w:pPr>
    </w:lvl>
    <w:lvl w:ilvl="8" w:tplc="2F94AF10">
      <w:start w:val="1"/>
      <w:numFmt w:val="bullet"/>
      <w:lvlText w:val="●"/>
      <w:lvlJc w:val="left"/>
      <w:pPr>
        <w:ind w:left="6480" w:hanging="360"/>
      </w:pPr>
    </w:lvl>
  </w:abstractNum>
  <w:num w:numId="1" w16cid:durableId="124390884">
    <w:abstractNumId w:val="1"/>
    <w:lvlOverride w:ilvl="0">
      <w:startOverride w:val="1"/>
    </w:lvlOverride>
  </w:num>
  <w:num w:numId="2" w16cid:durableId="460271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32A"/>
    <w:rsid w:val="00063F36"/>
    <w:rsid w:val="007B632A"/>
    <w:rsid w:val="00A3793D"/>
    <w:rsid w:val="00CB173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8BF7F"/>
  <w15:docId w15:val="{5B914E7A-1911-46E2-AC9A-2AD035498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B1732"/>
    <w:pPr>
      <w:tabs>
        <w:tab w:val="center" w:pos="4419"/>
        <w:tab w:val="right" w:pos="8838"/>
      </w:tabs>
    </w:pPr>
  </w:style>
  <w:style w:type="character" w:customStyle="1" w:styleId="EncabezadoCar">
    <w:name w:val="Encabezado Car"/>
    <w:basedOn w:val="Fuentedeprrafopredeter"/>
    <w:link w:val="Encabezado"/>
    <w:uiPriority w:val="99"/>
    <w:rsid w:val="00CB1732"/>
  </w:style>
  <w:style w:type="paragraph" w:styleId="Piedepgina">
    <w:name w:val="footer"/>
    <w:basedOn w:val="Normal"/>
    <w:link w:val="PiedepginaCar"/>
    <w:uiPriority w:val="99"/>
    <w:unhideWhenUsed/>
    <w:rsid w:val="00CB1732"/>
    <w:pPr>
      <w:tabs>
        <w:tab w:val="center" w:pos="4419"/>
        <w:tab w:val="right" w:pos="8838"/>
      </w:tabs>
    </w:pPr>
  </w:style>
  <w:style w:type="character" w:customStyle="1" w:styleId="PiedepginaCar">
    <w:name w:val="Pie de página Car"/>
    <w:basedOn w:val="Fuentedeprrafopredeter"/>
    <w:link w:val="Piedepgina"/>
    <w:uiPriority w:val="99"/>
    <w:rsid w:val="00CB17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8</Pages>
  <Words>2171</Words>
  <Characters>11942</Characters>
  <Application>Microsoft Office Word</Application>
  <DocSecurity>0</DocSecurity>
  <Lines>99</Lines>
  <Paragraphs>28</Paragraphs>
  <ScaleCrop>false</ScaleCrop>
  <Company/>
  <LinksUpToDate>false</LinksUpToDate>
  <CharactersWithSpaces>14085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Eduardo Borja</cp:lastModifiedBy>
  <cp:revision>2</cp:revision>
  <dcterms:created xsi:type="dcterms:W3CDTF">2026-04-10T05:53:00Z</dcterms:created>
  <dcterms:modified xsi:type="dcterms:W3CDTF">2026-04-11T13:43:00Z</dcterms:modified>
</cp:coreProperties>
</file>