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Matriz de Respuesta del Autor — versión de optimización</w:t>
      </w:r>
    </w:p>
    <w:p>
      <w:r>
        <w:rPr>
          <w:i/>
          <w:sz w:val="20"/>
        </w:rPr>
        <w:t>Optimización de un controlador de semáforos de lógica difusa para una intersección aislada: más allá de la réplica del controlador de Pappis y Mamdani (1977)</w:t>
      </w:r>
    </w:p>
    <w:p>
      <w:r>
        <w:rPr>
          <w:sz w:val="18"/>
        </w:rPr>
        <w:t>Raul Nolberto Quispe Saya y Kevin Luis Valero Ccacya — Escuela Profesional de Ingeniería Electrónica, UNSA</w:t>
      </w:r>
    </w:p>
    <w:p>
      <w:pPr>
        <w:spacing w:after="80"/>
      </w:pPr>
      <w:r>
        <w:rPr>
          <w:sz w:val="18"/>
        </w:rPr>
        <w:t>Esta matriz acompaña a la versión de optimización del manuscrito (articulo_opt/main.pdf, 9 páginas con referencias, IEEEtran, y su suplemento suplemento.pdf). El alcance cambió: el manuscrito ya no es solo una réplica del controlador de Pappis y Mamdani (1977) sino un estudio que parte de esa réplica y optimiza el controlador difuso con un protocolo reproducible. La versión de réplica (articulo_ieee/), su suplemento y su matriz de respuesta a las 17 observaciones siguen en el repositorio y no se modifican.</w:t>
      </w:r>
    </w:p>
    <w:p>
      <w:pPr>
        <w:spacing w:after="80"/>
      </w:pPr>
      <w:r>
        <w:rPr>
          <w:sz w:val="18"/>
        </w:rPr>
        <w:t>La Parte A indica qué ocurre con cada una de las 17 observaciones de la revisión anterior en la nueva versión. La Parte B responde a los puntos que la réplica no podía atender por su propio alcance (novedad, comparadores, información usada, generalización). Las ubicaciones se leen del manuscrito compilado; las cifras salen de resultados/opt/evaluacion_final.json mediante codigo/gen_tablas_opt.py. Todo se reproduce con python codigo/ejecutar_pruebas.py.</w:t>
      </w:r>
    </w:p>
    <w:p>
      <w:r>
        <w:rPr>
          <w:b/>
          <w:sz w:val="20"/>
        </w:rPr>
        <w:t>Parte A. Las 17 observaciones de la revisión anterior en la versión de optimización</w:t>
      </w:r>
    </w:p>
    <w:tbl>
      <w:tblPr>
        <w:tblStyle w:val="TableGrid"/>
        <w:tblW w:type="auto" w:w="0"/>
        <w:tblLayout w:type="fixed"/>
        <w:tblLook w:firstColumn="1" w:firstRow="1" w:lastColumn="0" w:lastRow="0" w:noHBand="0" w:noVBand="1" w:val="04A0"/>
        <w:tblLayout w:type="fixed"/>
      </w:tblPr>
      <w:tblGrid>
        <w:gridCol w:w="1020"/>
        <w:gridCol w:w="2948"/>
        <w:gridCol w:w="1701"/>
        <w:gridCol w:w="9808"/>
      </w:tblGrid>
      <w:tr>
        <w:trPr>
          <w:tblHeader w:val="true"/>
        </w:trPr>
        <w:tc>
          <w:tcPr>
            <w:tcW w:type="dxa" w:w="1020"/>
            <w:shd w:val="clear" w:color="auto" w:fill="1F3864"/>
          </w:tcPr>
          <w:p>
            <w:pPr>
              <w:spacing w:after="0" w:before="0"/>
            </w:pPr>
            <w:r/>
            <w:r>
              <w:rPr>
                <w:b/>
                <w:color w:val="FFFFFF"/>
                <w:sz w:val="16"/>
              </w:rPr>
              <w:t>Obs.</w:t>
            </w:r>
          </w:p>
        </w:tc>
        <w:tc>
          <w:tcPr>
            <w:tcW w:type="dxa" w:w="2948"/>
            <w:shd w:val="clear" w:color="auto" w:fill="1F3864"/>
          </w:tcPr>
          <w:p>
            <w:pPr>
              <w:spacing w:after="0" w:before="0"/>
            </w:pPr>
            <w:r/>
            <w:r>
              <w:rPr>
                <w:b/>
                <w:color w:val="FFFFFF"/>
                <w:sz w:val="16"/>
              </w:rPr>
              <w:t>Observación</w:t>
            </w:r>
          </w:p>
        </w:tc>
        <w:tc>
          <w:tcPr>
            <w:tcW w:type="dxa" w:w="1701"/>
            <w:shd w:val="clear" w:color="auto" w:fill="1F3864"/>
          </w:tcPr>
          <w:p>
            <w:pPr>
              <w:spacing w:after="0" w:before="0"/>
            </w:pPr>
            <w:r/>
            <w:r>
              <w:rPr>
                <w:b/>
                <w:color w:val="FFFFFF"/>
                <w:sz w:val="16"/>
              </w:rPr>
              <w:t>Estado</w:t>
            </w:r>
          </w:p>
        </w:tc>
        <w:tc>
          <w:tcPr>
            <w:tcW w:type="dxa" w:w="9808"/>
            <w:shd w:val="clear" w:color="auto" w:fill="1F3864"/>
          </w:tcPr>
          <w:p>
            <w:pPr>
              <w:spacing w:after="0" w:before="0"/>
            </w:pPr>
            <w:r/>
            <w:r>
              <w:rPr>
                <w:b/>
                <w:color w:val="FFFFFF"/>
                <w:sz w:val="16"/>
              </w:rPr>
              <w:t>Respuesta, ubicación y evidencia en la versión de optimización</w:t>
            </w:r>
          </w:p>
        </w:tc>
      </w:tr>
      <w:tr>
        <w:tc>
          <w:tcPr>
            <w:tcW w:type="dxa" w:w="1020"/>
            <w:shd w:val="clear" w:color="auto" w:fill="FDE9E7"/>
          </w:tcPr>
          <w:p>
            <w:pPr>
              <w:spacing w:after="0" w:before="0"/>
            </w:pPr>
            <w:r/>
            <w:r>
              <w:rPr>
                <w:b/>
                <w:sz w:val="16"/>
              </w:rPr>
              <w:t>1</w:t>
              <w:br/>
              <w:t>Crítica</w:t>
            </w:r>
          </w:p>
        </w:tc>
        <w:tc>
          <w:tcPr>
            <w:tcW w:type="dxa" w:w="2948"/>
          </w:tcPr>
          <w:p>
            <w:pPr>
              <w:spacing w:after="0" w:before="0"/>
            </w:pPr>
            <w:r/>
            <w:r>
              <w:rPr>
                <w:b/>
                <w:sz w:val="15"/>
              </w:rPr>
              <w:t>Operador «más que» (mt)</w:t>
            </w:r>
          </w:p>
        </w:tc>
        <w:tc>
          <w:tcPr>
            <w:tcW w:type="dxa" w:w="1701"/>
          </w:tcPr>
          <w:p>
            <w:pPr>
              <w:spacing w:after="0" w:before="0"/>
            </w:pPr>
            <w:r/>
            <w:r>
              <w:rPr>
                <w:b w:val="0"/>
                <w:sz w:val="15"/>
              </w:rPr>
              <w:t>Conservada</w:t>
            </w:r>
          </w:p>
        </w:tc>
        <w:tc>
          <w:tcPr>
            <w:tcW w:type="dxa" w:w="9808"/>
          </w:tcPr>
          <w:p>
            <w:pPr>
              <w:spacing w:after="0" w:before="0"/>
            </w:pPr>
            <w:r/>
            <w:r>
              <w:rPr>
                <w:b w:val="0"/>
                <w:sz w:val="15"/>
              </w:rPr>
              <w:t>La definición correcta (0 para x&lt;x0 y 1−μA(x) para x≥x0; lt∪mt = complemento y lt∩mt = ∅ en todo el universo, incluido x0) se conserva en Ec. (3) (p. 3), Sec. IV-A (p. 3); es lo que ejecuta el código (mt_arr, lt_queue) y lo comprueban test_paper_tables.py y test_parametros.py.</w:t>
            </w:r>
          </w:p>
        </w:tc>
      </w:tr>
      <w:tr>
        <w:tc>
          <w:tcPr>
            <w:tcW w:type="dxa" w:w="1020"/>
            <w:shd w:val="clear" w:color="auto" w:fill="FDE9E7"/>
          </w:tcPr>
          <w:p>
            <w:pPr>
              <w:spacing w:after="0" w:before="0"/>
            </w:pPr>
            <w:r/>
            <w:r>
              <w:rPr>
                <w:b/>
                <w:sz w:val="16"/>
              </w:rPr>
              <w:t>2</w:t>
              <w:br/>
              <w:t>Crítica</w:t>
            </w:r>
          </w:p>
        </w:tc>
        <w:tc>
          <w:tcPr>
            <w:tcW w:type="dxa" w:w="2948"/>
          </w:tcPr>
          <w:p>
            <w:pPr>
              <w:spacing w:after="0" w:before="0"/>
            </w:pPr>
            <w:r/>
            <w:r>
              <w:rPr>
                <w:b/>
                <w:sz w:val="15"/>
              </w:rPr>
              <w:t>Parámetros latentes de CALIBRADA</w:t>
            </w:r>
          </w:p>
        </w:tc>
        <w:tc>
          <w:tcPr>
            <w:tcW w:type="dxa" w:w="1701"/>
          </w:tcPr>
          <w:p>
            <w:pPr>
              <w:spacing w:after="0" w:before="0"/>
            </w:pPr>
            <w:r/>
            <w:r>
              <w:rPr>
                <w:b w:val="0"/>
                <w:sz w:val="15"/>
              </w:rPr>
              <w:t>Conservada</w:t>
            </w:r>
          </w:p>
        </w:tc>
        <w:tc>
          <w:tcPr>
            <w:tcW w:type="dxa" w:w="9808"/>
          </w:tcPr>
          <w:p>
            <w:pPr>
              <w:spacing w:after="0" w:before="0"/>
            </w:pPr>
            <w:r/>
            <w:r>
              <w:rPr>
                <w:b w:val="0"/>
                <w:sz w:val="15"/>
              </w:rPr>
              <w:t>La lectura calibrada se declara de forma explícita (a_e = min(e, Q_G+Σx_i), q_e = Q_V, q_mode='current', predicted_q=False) y como inferencia por falta de datos en Sec. IV-B (p. 3). Los parámetros se guardan resueltos en SimConfig y CALIBRADA; ninguno se ignora (test_parametros.py).</w:t>
            </w:r>
          </w:p>
        </w:tc>
      </w:tr>
      <w:tr>
        <w:tc>
          <w:tcPr>
            <w:tcW w:type="dxa" w:w="1020"/>
            <w:shd w:val="clear" w:color="auto" w:fill="FDE9E7"/>
          </w:tcPr>
          <w:p>
            <w:pPr>
              <w:spacing w:after="0" w:before="0"/>
            </w:pPr>
            <w:r/>
            <w:r>
              <w:rPr>
                <w:b/>
                <w:sz w:val="16"/>
              </w:rPr>
              <w:t>3</w:t>
              <w:br/>
              <w:t>Crítica</w:t>
            </w:r>
          </w:p>
        </w:tc>
        <w:tc>
          <w:tcPr>
            <w:tcW w:type="dxa" w:w="2948"/>
          </w:tcPr>
          <w:p>
            <w:pPr>
              <w:spacing w:after="0" w:before="0"/>
            </w:pPr>
            <w:r/>
            <w:r>
              <w:rPr>
                <w:b/>
                <w:sz w:val="15"/>
              </w:rPr>
              <w:t>Scripts ausentes y LaTeX obsoleto</w:t>
            </w:r>
          </w:p>
        </w:tc>
        <w:tc>
          <w:tcPr>
            <w:tcW w:type="dxa" w:w="1701"/>
          </w:tcPr>
          <w:p>
            <w:pPr>
              <w:spacing w:after="0" w:before="0"/>
            </w:pPr>
            <w:r/>
            <w:r>
              <w:rPr>
                <w:b w:val="0"/>
                <w:sz w:val="15"/>
              </w:rPr>
              <w:t>Atendida</w:t>
            </w:r>
          </w:p>
        </w:tc>
        <w:tc>
          <w:tcPr>
            <w:tcW w:type="dxa" w:w="9808"/>
          </w:tcPr>
          <w:p>
            <w:pPr>
              <w:spacing w:after="0" w:before="0"/>
            </w:pPr>
            <w:r/>
            <w:r>
              <w:rPr>
                <w:b w:val="0"/>
                <w:sz w:val="15"/>
              </w:rPr>
              <w:t>Todo archivo que el manuscrito o el suplemento citan existe: test_archivos_citados.py (réplica) y test_archivos_citados_opt.py (esta versión) lo comprueban y forman parte de ejecutar_pruebas.py. Las tablas y las cifras del texto no se escriben a mano: gen_tablas_opt.py las genera desde los resultados (numeros.tex, tabla_*.tex).</w:t>
            </w:r>
          </w:p>
        </w:tc>
      </w:tr>
      <w:tr>
        <w:tc>
          <w:tcPr>
            <w:tcW w:type="dxa" w:w="1020"/>
            <w:shd w:val="clear" w:color="auto" w:fill="FFF4D6"/>
          </w:tcPr>
          <w:p>
            <w:pPr>
              <w:spacing w:after="0" w:before="0"/>
            </w:pPr>
            <w:r/>
            <w:r>
              <w:rPr>
                <w:b/>
                <w:sz w:val="16"/>
              </w:rPr>
              <w:t>4</w:t>
              <w:br/>
              <w:t>Importante</w:t>
            </w:r>
          </w:p>
        </w:tc>
        <w:tc>
          <w:tcPr>
            <w:tcW w:type="dxa" w:w="2948"/>
          </w:tcPr>
          <w:p>
            <w:pPr>
              <w:spacing w:after="0" w:before="0"/>
            </w:pPr>
            <w:r/>
            <w:r>
              <w:rPr>
                <w:b/>
                <w:sz w:val="15"/>
              </w:rPr>
              <w:t>Retardo residual al final del horizonte</w:t>
            </w:r>
          </w:p>
        </w:tc>
        <w:tc>
          <w:tcPr>
            <w:tcW w:type="dxa" w:w="1701"/>
          </w:tcPr>
          <w:p>
            <w:pPr>
              <w:spacing w:after="0" w:before="0"/>
            </w:pPr>
            <w:r/>
            <w:r>
              <w:rPr>
                <w:b w:val="0"/>
                <w:sz w:val="15"/>
              </w:rPr>
              <w:t>Superada y ampliada</w:t>
            </w:r>
          </w:p>
        </w:tc>
        <w:tc>
          <w:tcPr>
            <w:tcW w:type="dxa" w:w="9808"/>
          </w:tcPr>
          <w:p>
            <w:pPr>
              <w:spacing w:after="0" w:before="0"/>
            </w:pPr>
            <w:r/>
            <w:r>
              <w:rPr>
                <w:b w:val="0"/>
                <w:sz w:val="15"/>
              </w:rPr>
              <w:t>El retardo del manuscrito es ahora siempre el que incluye la espera residual, Ec. (1) (p. 2) (D = suma por segundo de las colas); la identidad es una deducción y se verifica en test_sim_batch.py (D = D_ns + D_ew y equivalencia con el simulador de referencia). La convención del original (solo vehículos servidos) se reporta aparte (delay_servidos en evaluacion_final.json).</w:t>
            </w:r>
          </w:p>
        </w:tc>
      </w:tr>
      <w:tr>
        <w:tc>
          <w:tcPr>
            <w:tcW w:type="dxa" w:w="1020"/>
            <w:shd w:val="clear" w:color="auto" w:fill="FFF4D6"/>
          </w:tcPr>
          <w:p>
            <w:pPr>
              <w:spacing w:after="0" w:before="0"/>
            </w:pPr>
            <w:r/>
            <w:r>
              <w:rPr>
                <w:b/>
                <w:sz w:val="16"/>
              </w:rPr>
              <w:t>5</w:t>
              <w:br/>
              <w:t>Importante</w:t>
            </w:r>
          </w:p>
        </w:tc>
        <w:tc>
          <w:tcPr>
            <w:tcW w:type="dxa" w:w="2948"/>
          </w:tcPr>
          <w:p>
            <w:pPr>
              <w:spacing w:after="0" w:before="0"/>
            </w:pPr>
            <w:r/>
            <w:r>
              <w:rPr>
                <w:b/>
                <w:sz w:val="15"/>
              </w:rPr>
              <w:t>Línea base redondeada y alcance de la comparación</w:t>
            </w:r>
          </w:p>
        </w:tc>
        <w:tc>
          <w:tcPr>
            <w:tcW w:type="dxa" w:w="1701"/>
          </w:tcPr>
          <w:p>
            <w:pPr>
              <w:spacing w:after="0" w:before="0"/>
            </w:pPr>
            <w:r/>
            <w:r>
              <w:rPr>
                <w:b w:val="0"/>
                <w:sz w:val="15"/>
              </w:rPr>
              <w:t>Atendida por completo</w:t>
            </w:r>
          </w:p>
        </w:tc>
        <w:tc>
          <w:tcPr>
            <w:tcW w:type="dxa" w:w="9808"/>
          </w:tcPr>
          <w:p>
            <w:pPr>
              <w:spacing w:after="0" w:before="0"/>
            </w:pPr>
            <w:r/>
            <w:r>
              <w:rPr>
                <w:b w:val="0"/>
                <w:sz w:val="15"/>
              </w:rPr>
              <w:t>Además del ciclo fijo de Webster se comparan un actuado por detector, un actuado afinado con el mismo presupuesto, la presión máxima, la cota óptima por programación dinámica, una política neuronal y FLC-O (Tabla 3 (p. 5), Tabla 6 (p. 7)). El actuado afinado es un rival más fuerte que el original: FLC-O lo mejora en 22.0 % por par, con 16 pares significativamente mejores y 0 peores (Tabla 5 (p. 6)).</w:t>
            </w:r>
          </w:p>
        </w:tc>
      </w:tr>
      <w:tr>
        <w:tc>
          <w:tcPr>
            <w:tcW w:type="dxa" w:w="1020"/>
            <w:shd w:val="clear" w:color="auto" w:fill="FFF4D6"/>
          </w:tcPr>
          <w:p>
            <w:pPr>
              <w:spacing w:after="0" w:before="0"/>
            </w:pPr>
            <w:r/>
            <w:r>
              <w:rPr>
                <w:b/>
                <w:sz w:val="16"/>
              </w:rPr>
              <w:t>6</w:t>
              <w:br/>
              <w:t>Importante</w:t>
            </w:r>
          </w:p>
        </w:tc>
        <w:tc>
          <w:tcPr>
            <w:tcW w:type="dxa" w:w="2948"/>
          </w:tcPr>
          <w:p>
            <w:pPr>
              <w:spacing w:after="0" w:before="0"/>
            </w:pPr>
            <w:r/>
            <w:r>
              <w:rPr>
                <w:b/>
                <w:sz w:val="15"/>
              </w:rPr>
              <w:t>Números aleatorios comunes, dispersión y pruebas no paramétricas</w:t>
            </w:r>
          </w:p>
        </w:tc>
        <w:tc>
          <w:tcPr>
            <w:tcW w:type="dxa" w:w="1701"/>
          </w:tcPr>
          <w:p>
            <w:pPr>
              <w:spacing w:after="0" w:before="0"/>
            </w:pPr>
            <w:r/>
            <w:r>
              <w:rPr>
                <w:b w:val="0"/>
                <w:sz w:val="15"/>
              </w:rPr>
              <w:t>Atendida</w:t>
            </w:r>
          </w:p>
        </w:tc>
        <w:tc>
          <w:tcPr>
            <w:tcW w:type="dxa" w:w="9808"/>
          </w:tcPr>
          <w:p>
            <w:pPr>
              <w:spacing w:after="0" w:before="0"/>
            </w:pPr>
            <w:r/>
            <w:r>
              <w:rPr>
                <w:b w:val="0"/>
                <w:sz w:val="15"/>
              </w:rPr>
              <w:t>Conjunto oficial con 20 réplicas y números aleatorios comunes; media, desviación estándar muestral (n−1) e IC 95 % por par; Wilcoxon pareado con Holm (Tabla 4 (p. 6), Tabla 5 (p. 6); todos los pares en la Tabla S4 del suplemento (p. 3)). Los conjuntos adicionales usan 64 escenarios.</w:t>
            </w:r>
          </w:p>
        </w:tc>
      </w:tr>
      <w:tr>
        <w:tc>
          <w:tcPr>
            <w:tcW w:type="dxa" w:w="1020"/>
            <w:shd w:val="clear" w:color="auto" w:fill="FFF4D6"/>
          </w:tcPr>
          <w:p>
            <w:pPr>
              <w:spacing w:after="0" w:before="0"/>
            </w:pPr>
            <w:r/>
            <w:r>
              <w:rPr>
                <w:b/>
                <w:sz w:val="16"/>
              </w:rPr>
              <w:t>7</w:t>
              <w:br/>
              <w:t>Importante</w:t>
            </w:r>
          </w:p>
        </w:tc>
        <w:tc>
          <w:tcPr>
            <w:tcW w:type="dxa" w:w="2948"/>
          </w:tcPr>
          <w:p>
            <w:pPr>
              <w:spacing w:after="0" w:before="0"/>
            </w:pPr>
            <w:r/>
            <w:r>
              <w:rPr>
                <w:b/>
                <w:sz w:val="15"/>
              </w:rPr>
              <w:t>Activación de reglas con una semilla y 1800 s</w:t>
            </w:r>
          </w:p>
        </w:tc>
        <w:tc>
          <w:tcPr>
            <w:tcW w:type="dxa" w:w="1701"/>
          </w:tcPr>
          <w:p>
            <w:pPr>
              <w:spacing w:after="0" w:before="0"/>
            </w:pPr>
            <w:r/>
            <w:r>
              <w:rPr>
                <w:b w:val="0"/>
                <w:sz w:val="15"/>
              </w:rPr>
              <w:t>Superada por el cambio de alcance</w:t>
            </w:r>
          </w:p>
        </w:tc>
        <w:tc>
          <w:tcPr>
            <w:tcW w:type="dxa" w:w="9808"/>
          </w:tcPr>
          <w:p>
            <w:pPr>
              <w:spacing w:after="0" w:before="0"/>
            </w:pPr>
            <w:r/>
            <w:r>
              <w:rPr>
                <w:b w:val="0"/>
                <w:sz w:val="15"/>
              </w:rPr>
              <w:t>El manuscrito ya no reporta activación de reglas del controlador de 1977 con una semilla. La interpretación de FLC-O se da con su base de reglas aprendida (Tabla 2 (p. 5), Fig. 2 (p. 6)) y todos los resultados usan 20 réplicas de 7200 s o 64 escenarios de 7200 s. El análisis agregado de disparos de la réplica sigue en el artículo de réplica.</w:t>
            </w:r>
          </w:p>
        </w:tc>
      </w:tr>
      <w:tr>
        <w:tc>
          <w:tcPr>
            <w:tcW w:type="dxa" w:w="1020"/>
            <w:shd w:val="clear" w:color="auto" w:fill="FFF4D6"/>
          </w:tcPr>
          <w:p>
            <w:pPr>
              <w:spacing w:after="0" w:before="0"/>
            </w:pPr>
            <w:r/>
            <w:r>
              <w:rPr>
                <w:b/>
                <w:sz w:val="16"/>
              </w:rPr>
              <w:t>8</w:t>
              <w:br/>
              <w:t>Importante</w:t>
            </w:r>
          </w:p>
        </w:tc>
        <w:tc>
          <w:tcPr>
            <w:tcW w:type="dxa" w:w="2948"/>
          </w:tcPr>
          <w:p>
            <w:pPr>
              <w:spacing w:after="0" w:before="0"/>
            </w:pPr>
            <w:r/>
            <w:r>
              <w:rPr>
                <w:b/>
                <w:sz w:val="15"/>
              </w:rPr>
              <w:t>Literatura desactualizada y celda incompleta</w:t>
            </w:r>
          </w:p>
        </w:tc>
        <w:tc>
          <w:tcPr>
            <w:tcW w:type="dxa" w:w="1701"/>
          </w:tcPr>
          <w:p>
            <w:pPr>
              <w:spacing w:after="0" w:before="0"/>
            </w:pPr>
            <w:r/>
            <w:r>
              <w:rPr>
                <w:b w:val="0"/>
                <w:sz w:val="15"/>
              </w:rPr>
              <w:t>Atendida</w:t>
            </w:r>
          </w:p>
        </w:tc>
        <w:tc>
          <w:tcPr>
            <w:tcW w:type="dxa" w:w="9808"/>
          </w:tcPr>
          <w:p>
            <w:pPr>
              <w:spacing w:after="0" w:before="0"/>
            </w:pPr>
            <w:r/>
            <w:r>
              <w:rPr>
                <w:b w:val="0"/>
                <w:sz w:val="15"/>
              </w:rPr>
              <w:t>Sec. II (p. 2) cubre hasta 2026 e incorpora las referencias de optimización (CMA-ES, presión máxima, programación dinámica, ley de Little, Takagi–Sugeno). Los DOI se comprueban contra Crossref con codigo/verificar_referencias.py; la celda incompleta de la tabla de antecedentes ya no existe (la tabla de 180 combinaciones queda en el artículo de réplica).</w:t>
            </w:r>
          </w:p>
        </w:tc>
      </w:tr>
      <w:tr>
        <w:tc>
          <w:tcPr>
            <w:tcW w:type="dxa" w:w="1020"/>
            <w:shd w:val="clear" w:color="auto" w:fill="FFF4D6"/>
          </w:tcPr>
          <w:p>
            <w:pPr>
              <w:spacing w:after="0" w:before="0"/>
            </w:pPr>
            <w:r/>
            <w:r>
              <w:rPr>
                <w:b/>
                <w:sz w:val="16"/>
              </w:rPr>
              <w:t>9</w:t>
              <w:br/>
              <w:t>Importante</w:t>
            </w:r>
          </w:p>
        </w:tc>
        <w:tc>
          <w:tcPr>
            <w:tcW w:type="dxa" w:w="2948"/>
          </w:tcPr>
          <w:p>
            <w:pPr>
              <w:spacing w:after="0" w:before="0"/>
            </w:pPr>
            <w:r/>
            <w:r>
              <w:rPr>
                <w:b/>
                <w:sz w:val="15"/>
              </w:rPr>
              <w:t>Duplicación estructural</w:t>
            </w:r>
          </w:p>
        </w:tc>
        <w:tc>
          <w:tcPr>
            <w:tcW w:type="dxa" w:w="1701"/>
          </w:tcPr>
          <w:p>
            <w:pPr>
              <w:spacing w:after="0" w:before="0"/>
            </w:pPr>
            <w:r/>
            <w:r>
              <w:rPr>
                <w:b w:val="0"/>
                <w:sz w:val="15"/>
              </w:rPr>
              <w:t>Atendida</w:t>
            </w:r>
          </w:p>
        </w:tc>
        <w:tc>
          <w:tcPr>
            <w:tcW w:type="dxa" w:w="9808"/>
          </w:tcPr>
          <w:p>
            <w:pPr>
              <w:spacing w:after="0" w:before="0"/>
            </w:pPr>
            <w:r/>
            <w:r>
              <w:rPr>
                <w:b w:val="0"/>
                <w:sz w:val="15"/>
              </w:rPr>
              <w:t>El manuscrito tiene 9 páginas (la versión de réplica, 15); cada ecuación se define una sola vez (Sec. III y Sec. IV) y los detalles de la réplica se remiten al artículo de réplica, no se repiten.</w:t>
            </w:r>
          </w:p>
        </w:tc>
      </w:tr>
      <w:tr>
        <w:tc>
          <w:tcPr>
            <w:tcW w:type="dxa" w:w="1020"/>
            <w:shd w:val="clear" w:color="auto" w:fill="E8F1E4"/>
          </w:tcPr>
          <w:p>
            <w:pPr>
              <w:spacing w:after="0" w:before="0"/>
            </w:pPr>
            <w:r/>
            <w:r>
              <w:rPr>
                <w:b/>
                <w:sz w:val="16"/>
              </w:rPr>
              <w:t>10</w:t>
              <w:br/>
              <w:t>Menor</w:t>
            </w:r>
          </w:p>
        </w:tc>
        <w:tc>
          <w:tcPr>
            <w:tcW w:type="dxa" w:w="2948"/>
          </w:tcPr>
          <w:p>
            <w:pPr>
              <w:spacing w:after="0" w:before="0"/>
            </w:pPr>
            <w:r/>
            <w:r>
              <w:rPr>
                <w:b/>
                <w:sz w:val="15"/>
              </w:rPr>
              <w:t>Entorno de software y hardware y complejidad</w:t>
            </w:r>
          </w:p>
        </w:tc>
        <w:tc>
          <w:tcPr>
            <w:tcW w:type="dxa" w:w="1701"/>
          </w:tcPr>
          <w:p>
            <w:pPr>
              <w:spacing w:after="0" w:before="0"/>
            </w:pPr>
            <w:r/>
            <w:r>
              <w:rPr>
                <w:b w:val="0"/>
                <w:sz w:val="15"/>
              </w:rPr>
              <w:t>Atendida</w:t>
            </w:r>
          </w:p>
        </w:tc>
        <w:tc>
          <w:tcPr>
            <w:tcW w:type="dxa" w:w="9808"/>
          </w:tcPr>
          <w:p>
            <w:pPr>
              <w:spacing w:after="0" w:before="0"/>
            </w:pPr>
            <w:r/>
            <w:r>
              <w:rPr>
                <w:b w:val="0"/>
                <w:sz w:val="15"/>
              </w:rPr>
              <w:t>Sección «Disponibilidad del código» (p. 8) y Sec. VIII del suplemento (p. 2): Python 3.13, NumPy 2.5, generador PCG64 con semillas fijas, 4 procesos. Costo: con un núcleo, unos 10 ms por escenario de 7200 s con el simulador vectorizado frente a unos 230 ms con el de referencia. Cada decisión de FLC-O es O(27) por segundo.</w:t>
            </w:r>
          </w:p>
        </w:tc>
      </w:tr>
      <w:tr>
        <w:tc>
          <w:tcPr>
            <w:tcW w:type="dxa" w:w="1020"/>
            <w:shd w:val="clear" w:color="auto" w:fill="E8F1E4"/>
          </w:tcPr>
          <w:p>
            <w:pPr>
              <w:spacing w:after="0" w:before="0"/>
            </w:pPr>
            <w:r/>
            <w:r>
              <w:rPr>
                <w:b/>
                <w:sz w:val="16"/>
              </w:rPr>
              <w:t>11</w:t>
              <w:br/>
              <w:t>Menor</w:t>
            </w:r>
          </w:p>
        </w:tc>
        <w:tc>
          <w:tcPr>
            <w:tcW w:type="dxa" w:w="2948"/>
          </w:tcPr>
          <w:p>
            <w:pPr>
              <w:spacing w:after="0" w:before="0"/>
            </w:pPr>
            <w:r/>
            <w:r>
              <w:rPr>
                <w:b/>
                <w:sz w:val="15"/>
              </w:rPr>
              <w:t>Desviación estándar de población y de muestra</w:t>
            </w:r>
          </w:p>
        </w:tc>
        <w:tc>
          <w:tcPr>
            <w:tcW w:type="dxa" w:w="1701"/>
          </w:tcPr>
          <w:p>
            <w:pPr>
              <w:spacing w:after="0" w:before="0"/>
            </w:pPr>
            <w:r/>
            <w:r>
              <w:rPr>
                <w:b w:val="0"/>
                <w:sz w:val="15"/>
              </w:rPr>
              <w:t>Atendida</w:t>
            </w:r>
          </w:p>
        </w:tc>
        <w:tc>
          <w:tcPr>
            <w:tcW w:type="dxa" w:w="9808"/>
          </w:tcPr>
          <w:p>
            <w:pPr>
              <w:spacing w:after="0" w:before="0"/>
            </w:pPr>
            <w:r/>
            <w:r>
              <w:rPr>
                <w:b w:val="0"/>
                <w:sz w:val="15"/>
              </w:rPr>
              <w:t>Toda desviación estándar es la muestral (n−1): estadistica.ic95 y las tablas del manuscrito y del suplemento (test_estadistica.py).</w:t>
            </w:r>
          </w:p>
        </w:tc>
      </w:tr>
      <w:tr>
        <w:tc>
          <w:tcPr>
            <w:tcW w:type="dxa" w:w="1020"/>
            <w:shd w:val="clear" w:color="auto" w:fill="E8F1E4"/>
          </w:tcPr>
          <w:p>
            <w:pPr>
              <w:spacing w:after="0" w:before="0"/>
            </w:pPr>
            <w:r/>
            <w:r>
              <w:rPr>
                <w:b/>
                <w:sz w:val="16"/>
              </w:rPr>
              <w:t>12</w:t>
              <w:br/>
              <w:t>Menor</w:t>
            </w:r>
          </w:p>
        </w:tc>
        <w:tc>
          <w:tcPr>
            <w:tcW w:type="dxa" w:w="2948"/>
          </w:tcPr>
          <w:p>
            <w:pPr>
              <w:spacing w:after="0" w:before="0"/>
            </w:pPr>
            <w:r/>
            <w:r>
              <w:rPr>
                <w:b/>
                <w:sz w:val="15"/>
              </w:rPr>
              <w:t>2.0 % frente a 2.1 % en la Tabla I</w:t>
            </w:r>
          </w:p>
        </w:tc>
        <w:tc>
          <w:tcPr>
            <w:tcW w:type="dxa" w:w="1701"/>
          </w:tcPr>
          <w:p>
            <w:pPr>
              <w:spacing w:after="0" w:before="0"/>
            </w:pPr>
            <w:r/>
            <w:r>
              <w:rPr>
                <w:b w:val="0"/>
                <w:sz w:val="15"/>
              </w:rPr>
              <w:t>Conservada</w:t>
            </w:r>
          </w:p>
        </w:tc>
        <w:tc>
          <w:tcPr>
            <w:tcW w:type="dxa" w:w="9808"/>
          </w:tcPr>
          <w:p>
            <w:pPr>
              <w:spacing w:after="0" w:before="0"/>
            </w:pPr>
            <w:r/>
            <w:r>
              <w:rPr>
                <w:b w:val="0"/>
                <w:sz w:val="15"/>
              </w:rPr>
              <w:t>El error de 2.1 % de la réplica se cita igual en Sec. IV-B (p. 3) y en el resumen; coincide con el artículo de réplica.</w:t>
            </w:r>
          </w:p>
        </w:tc>
      </w:tr>
      <w:tr>
        <w:tc>
          <w:tcPr>
            <w:tcW w:type="dxa" w:w="1020"/>
            <w:shd w:val="clear" w:color="auto" w:fill="E8F1E4"/>
          </w:tcPr>
          <w:p>
            <w:pPr>
              <w:spacing w:after="0" w:before="0"/>
            </w:pPr>
            <w:r/>
            <w:r>
              <w:rPr>
                <w:b/>
                <w:sz w:val="16"/>
              </w:rPr>
              <w:t>13</w:t>
              <w:br/>
              <w:t>Menor</w:t>
            </w:r>
          </w:p>
        </w:tc>
        <w:tc>
          <w:tcPr>
            <w:tcW w:type="dxa" w:w="2948"/>
          </w:tcPr>
          <w:p>
            <w:pPr>
              <w:spacing w:after="0" w:before="0"/>
            </w:pPr>
            <w:r/>
            <w:r>
              <w:rPr>
                <w:b/>
                <w:sz w:val="15"/>
              </w:rPr>
              <w:t>Ecuación suelta y numeración</w:t>
            </w:r>
          </w:p>
        </w:tc>
        <w:tc>
          <w:tcPr>
            <w:tcW w:type="dxa" w:w="1701"/>
          </w:tcPr>
          <w:p>
            <w:pPr>
              <w:spacing w:after="0" w:before="0"/>
            </w:pPr>
            <w:r/>
            <w:r>
              <w:rPr>
                <w:b w:val="0"/>
                <w:sz w:val="15"/>
              </w:rPr>
              <w:t>Atendida</w:t>
            </w:r>
          </w:p>
        </w:tc>
        <w:tc>
          <w:tcPr>
            <w:tcW w:type="dxa" w:w="9808"/>
          </w:tcPr>
          <w:p>
            <w:pPr>
              <w:spacing w:after="0" w:before="0"/>
            </w:pPr>
            <w:r/>
            <w:r>
              <w:rPr>
                <w:b w:val="0"/>
                <w:sz w:val="15"/>
              </w:rPr>
              <w:t>Las 8 ecuaciones están numeradas en orden y todas se citan en el texto.</w:t>
            </w:r>
          </w:p>
        </w:tc>
      </w:tr>
      <w:tr>
        <w:tc>
          <w:tcPr>
            <w:tcW w:type="dxa" w:w="1020"/>
            <w:shd w:val="clear" w:color="auto" w:fill="E8F1E4"/>
          </w:tcPr>
          <w:p>
            <w:pPr>
              <w:spacing w:after="0" w:before="0"/>
            </w:pPr>
            <w:r/>
            <w:r>
              <w:rPr>
                <w:b/>
                <w:sz w:val="16"/>
              </w:rPr>
              <w:t>14</w:t>
              <w:br/>
              <w:t>Menor</w:t>
            </w:r>
          </w:p>
        </w:tc>
        <w:tc>
          <w:tcPr>
            <w:tcW w:type="dxa" w:w="2948"/>
          </w:tcPr>
          <w:p>
            <w:pPr>
              <w:spacing w:after="0" w:before="0"/>
            </w:pPr>
            <w:r/>
            <w:r>
              <w:rPr>
                <w:b/>
                <w:sz w:val="15"/>
              </w:rPr>
              <w:t>Colisión de notación del símbolo q</w:t>
            </w:r>
          </w:p>
        </w:tc>
        <w:tc>
          <w:tcPr>
            <w:tcW w:type="dxa" w:w="1701"/>
          </w:tcPr>
          <w:p>
            <w:pPr>
              <w:spacing w:after="0" w:before="0"/>
            </w:pPr>
            <w:r/>
            <w:r>
              <w:rPr>
                <w:b w:val="0"/>
                <w:sz w:val="15"/>
              </w:rPr>
              <w:t>Atendida</w:t>
            </w:r>
          </w:p>
        </w:tc>
        <w:tc>
          <w:tcPr>
            <w:tcW w:type="dxa" w:w="9808"/>
          </w:tcPr>
          <w:p>
            <w:pPr>
              <w:spacing w:after="0" w:before="0"/>
            </w:pPr>
            <w:r/>
            <w:r>
              <w:rPr>
                <w:b w:val="0"/>
                <w:sz w:val="15"/>
              </w:rPr>
              <w:t>Tasa de llegada q̄_i y colas Q; símbolos sin repetirse y con tabla de notación (Tabla 1 (p. 3)).</w:t>
            </w:r>
          </w:p>
        </w:tc>
      </w:tr>
      <w:tr>
        <w:tc>
          <w:tcPr>
            <w:tcW w:type="dxa" w:w="1020"/>
            <w:shd w:val="clear" w:color="auto" w:fill="E8F1E4"/>
          </w:tcPr>
          <w:p>
            <w:pPr>
              <w:spacing w:after="0" w:before="0"/>
            </w:pPr>
            <w:r/>
            <w:r>
              <w:rPr>
                <w:b/>
                <w:sz w:val="16"/>
              </w:rPr>
              <w:t>15</w:t>
              <w:br/>
              <w:t>Menor</w:t>
            </w:r>
          </w:p>
        </w:tc>
        <w:tc>
          <w:tcPr>
            <w:tcW w:type="dxa" w:w="2948"/>
          </w:tcPr>
          <w:p>
            <w:pPr>
              <w:spacing w:after="0" w:before="0"/>
            </w:pPr>
            <w:r/>
            <w:r>
              <w:rPr>
                <w:b/>
                <w:sz w:val="15"/>
              </w:rPr>
              <w:t>Hoja de ruta incompleta</w:t>
            </w:r>
          </w:p>
        </w:tc>
        <w:tc>
          <w:tcPr>
            <w:tcW w:type="dxa" w:w="1701"/>
          </w:tcPr>
          <w:p>
            <w:pPr>
              <w:spacing w:after="0" w:before="0"/>
            </w:pPr>
            <w:r/>
            <w:r>
              <w:rPr>
                <w:b w:val="0"/>
                <w:sz w:val="15"/>
              </w:rPr>
              <w:t>Atendida</w:t>
            </w:r>
          </w:p>
        </w:tc>
        <w:tc>
          <w:tcPr>
            <w:tcW w:type="dxa" w:w="9808"/>
          </w:tcPr>
          <w:p>
            <w:pPr>
              <w:spacing w:after="0" w:before="0"/>
            </w:pPr>
            <w:r/>
            <w:r>
              <w:rPr>
                <w:b w:val="0"/>
                <w:sz w:val="15"/>
              </w:rPr>
              <w:t>El último párrafo de la Introducción enumera todas las secciones (Sec. I).</w:t>
            </w:r>
          </w:p>
        </w:tc>
      </w:tr>
      <w:tr>
        <w:tc>
          <w:tcPr>
            <w:tcW w:type="dxa" w:w="1020"/>
            <w:shd w:val="clear" w:color="auto" w:fill="E8F1E4"/>
          </w:tcPr>
          <w:p>
            <w:pPr>
              <w:spacing w:after="0" w:before="0"/>
            </w:pPr>
            <w:r/>
            <w:r>
              <w:rPr>
                <w:b/>
                <w:sz w:val="16"/>
              </w:rPr>
              <w:t>16</w:t>
              <w:br/>
              <w:t>Menor</w:t>
            </w:r>
          </w:p>
        </w:tc>
        <w:tc>
          <w:tcPr>
            <w:tcW w:type="dxa" w:w="2948"/>
          </w:tcPr>
          <w:p>
            <w:pPr>
              <w:spacing w:after="0" w:before="0"/>
            </w:pPr>
            <w:r/>
            <w:r>
              <w:rPr>
                <w:b/>
                <w:sz w:val="15"/>
              </w:rPr>
              <w:t>Errores tipográficos</w:t>
            </w:r>
          </w:p>
        </w:tc>
        <w:tc>
          <w:tcPr>
            <w:tcW w:type="dxa" w:w="1701"/>
          </w:tcPr>
          <w:p>
            <w:pPr>
              <w:spacing w:after="0" w:before="0"/>
            </w:pPr>
            <w:r/>
            <w:r>
              <w:rPr>
                <w:b w:val="0"/>
                <w:sz w:val="15"/>
              </w:rPr>
              <w:t>Atendida</w:t>
            </w:r>
          </w:p>
        </w:tc>
        <w:tc>
          <w:tcPr>
            <w:tcW w:type="dxa" w:w="9808"/>
          </w:tcPr>
          <w:p>
            <w:pPr>
              <w:spacing w:after="0" w:before="0"/>
            </w:pPr>
            <w:r/>
            <w:r>
              <w:rPr>
                <w:b w:val="0"/>
                <w:sz w:val="15"/>
              </w:rPr>
              <w:t>Revisión del texto y compilación con pdfLaTeX y BibTeX sin errores ni referencias sin definir.</w:t>
            </w:r>
          </w:p>
        </w:tc>
      </w:tr>
      <w:tr>
        <w:tc>
          <w:tcPr>
            <w:tcW w:type="dxa" w:w="1020"/>
            <w:shd w:val="clear" w:color="auto" w:fill="E8F1E4"/>
          </w:tcPr>
          <w:p>
            <w:pPr>
              <w:spacing w:after="0" w:before="0"/>
            </w:pPr>
            <w:r/>
            <w:r>
              <w:rPr>
                <w:b/>
                <w:sz w:val="16"/>
              </w:rPr>
              <w:t>17</w:t>
              <w:br/>
              <w:t>Menor</w:t>
            </w:r>
          </w:p>
        </w:tc>
        <w:tc>
          <w:tcPr>
            <w:tcW w:type="dxa" w:w="2948"/>
          </w:tcPr>
          <w:p>
            <w:pPr>
              <w:spacing w:after="0" w:before="0"/>
            </w:pPr>
            <w:r/>
            <w:r>
              <w:rPr>
                <w:b/>
                <w:sz w:val="15"/>
              </w:rPr>
              <w:t>Gramática y separadores decimales</w:t>
            </w:r>
          </w:p>
        </w:tc>
        <w:tc>
          <w:tcPr>
            <w:tcW w:type="dxa" w:w="1701"/>
          </w:tcPr>
          <w:p>
            <w:pPr>
              <w:spacing w:after="0" w:before="0"/>
            </w:pPr>
            <w:r/>
            <w:r>
              <w:rPr>
                <w:b w:val="0"/>
                <w:sz w:val="15"/>
              </w:rPr>
              <w:t>Atendida</w:t>
            </w:r>
          </w:p>
        </w:tc>
        <w:tc>
          <w:tcPr>
            <w:tcW w:type="dxa" w:w="9808"/>
          </w:tcPr>
          <w:p>
            <w:pPr>
              <w:spacing w:after="0" w:before="0"/>
            </w:pPr>
            <w:r/>
            <w:r>
              <w:rPr>
                <w:b w:val="0"/>
                <w:sz w:val="15"/>
              </w:rPr>
              <w:t>Separador decimal con punto en todo el manuscrito (es-nodecimaldot) y revisión gramatical.</w:t>
            </w:r>
          </w:p>
        </w:tc>
      </w:tr>
    </w:tbl>
    <w:p/>
    <w:p>
      <w:r>
        <w:rPr>
          <w:b/>
          <w:sz w:val="20"/>
        </w:rPr>
        <w:t>Parte B. Puntos que la réplica no podía atender por su alcance</w:t>
      </w:r>
    </w:p>
    <w:tbl>
      <w:tblPr>
        <w:tblStyle w:val="TableGrid"/>
        <w:tblW w:type="auto" w:w="0"/>
        <w:tblLayout w:type="fixed"/>
        <w:tblLook w:firstColumn="1" w:firstRow="1" w:lastColumn="0" w:lastRow="0" w:noHBand="0" w:noVBand="1" w:val="04A0"/>
        <w:tblLayout w:type="fixed"/>
      </w:tblPr>
      <w:tblGrid>
        <w:gridCol w:w="794"/>
        <w:gridCol w:w="2608"/>
        <w:gridCol w:w="6917"/>
        <w:gridCol w:w="5159"/>
      </w:tblGrid>
      <w:tr>
        <w:trPr>
          <w:tblHeader w:val="true"/>
        </w:trPr>
        <w:tc>
          <w:tcPr>
            <w:tcW w:type="dxa" w:w="794"/>
            <w:shd w:val="clear" w:color="auto" w:fill="1F3864"/>
          </w:tcPr>
          <w:p>
            <w:pPr>
              <w:spacing w:after="0" w:before="0"/>
            </w:pPr>
            <w:r/>
            <w:r>
              <w:rPr>
                <w:b/>
                <w:color w:val="FFFFFF"/>
                <w:sz w:val="16"/>
              </w:rPr>
              <w:t>Punto</w:t>
            </w:r>
          </w:p>
        </w:tc>
        <w:tc>
          <w:tcPr>
            <w:tcW w:type="dxa" w:w="2608"/>
            <w:shd w:val="clear" w:color="auto" w:fill="1F3864"/>
          </w:tcPr>
          <w:p>
            <w:pPr>
              <w:spacing w:after="0" w:before="0"/>
            </w:pPr>
            <w:r/>
            <w:r>
              <w:rPr>
                <w:b/>
                <w:color w:val="FFFFFF"/>
                <w:sz w:val="16"/>
              </w:rPr>
              <w:t>Observación</w:t>
            </w:r>
          </w:p>
        </w:tc>
        <w:tc>
          <w:tcPr>
            <w:tcW w:type="dxa" w:w="6917"/>
            <w:shd w:val="clear" w:color="auto" w:fill="1F3864"/>
          </w:tcPr>
          <w:p>
            <w:pPr>
              <w:spacing w:after="0" w:before="0"/>
            </w:pPr>
            <w:r/>
            <w:r>
              <w:rPr>
                <w:b/>
                <w:color w:val="FFFFFF"/>
                <w:sz w:val="16"/>
              </w:rPr>
              <w:t>Respuesta y ubicación</w:t>
            </w:r>
          </w:p>
        </w:tc>
        <w:tc>
          <w:tcPr>
            <w:tcW w:type="dxa" w:w="5159"/>
            <w:shd w:val="clear" w:color="auto" w:fill="1F3864"/>
          </w:tcPr>
          <w:p>
            <w:pPr>
              <w:spacing w:after="0" w:before="0"/>
            </w:pPr>
            <w:r/>
            <w:r>
              <w:rPr>
                <w:b/>
                <w:color w:val="FFFFFF"/>
                <w:sz w:val="16"/>
              </w:rPr>
              <w:t>Evidencia</w:t>
            </w:r>
          </w:p>
        </w:tc>
      </w:tr>
      <w:tr>
        <w:tc>
          <w:tcPr>
            <w:tcW w:type="dxa" w:w="794"/>
          </w:tcPr>
          <w:p>
            <w:pPr>
              <w:spacing w:after="0" w:before="0"/>
            </w:pPr>
            <w:r/>
            <w:r>
              <w:rPr>
                <w:b/>
                <w:sz w:val="16"/>
              </w:rPr>
              <w:t>B1</w:t>
            </w:r>
          </w:p>
        </w:tc>
        <w:tc>
          <w:tcPr>
            <w:tcW w:type="dxa" w:w="2608"/>
          </w:tcPr>
          <w:p>
            <w:pPr>
              <w:spacing w:after="0" w:before="0"/>
            </w:pPr>
            <w:r/>
            <w:r>
              <w:rPr>
                <w:b/>
                <w:sz w:val="15"/>
              </w:rPr>
              <w:t>Novedad «incremental» (replicación y auditoría)</w:t>
            </w:r>
          </w:p>
        </w:tc>
        <w:tc>
          <w:tcPr>
            <w:tcW w:type="dxa" w:w="6917"/>
          </w:tcPr>
          <w:p>
            <w:pPr>
              <w:spacing w:after="0" w:before="0"/>
            </w:pPr>
            <w:r/>
            <w:r>
              <w:rPr>
                <w:b w:val="0"/>
                <w:sz w:val="15"/>
              </w:rPr>
              <w:t>Se acepta que la réplica por sí sola era incremental. El manuscrito añade una contribución nueva: FLC-O, un difuso de 27 reglas con 42 parámetros entrenados con CMA-ES, junto con un simulador vectorizado exacto, una cota óptima y un protocolo de prueba separado de entrenamiento (Sec. I, contribuciones 1 a 5).</w:t>
            </w:r>
          </w:p>
        </w:tc>
        <w:tc>
          <w:tcPr>
            <w:tcW w:type="dxa" w:w="5159"/>
          </w:tcPr>
          <w:p>
            <w:pPr>
              <w:spacing w:after="0" w:before="0"/>
            </w:pPr>
            <w:r/>
            <w:r>
              <w:rPr>
                <w:b w:val="0"/>
                <w:sz w:val="15"/>
              </w:rPr>
              <w:t>Retardo medio oficial: 10.95 s/veh (Pappis y Mamdani) → 7.91 (FLC-O), −27.8 %; significativamente mejor en 16 de 16 pares y peor en 0.</w:t>
            </w:r>
          </w:p>
        </w:tc>
      </w:tr>
      <w:tr>
        <w:tc>
          <w:tcPr>
            <w:tcW w:type="dxa" w:w="794"/>
          </w:tcPr>
          <w:p>
            <w:pPr>
              <w:spacing w:after="0" w:before="0"/>
            </w:pPr>
            <w:r/>
            <w:r>
              <w:rPr>
                <w:b/>
                <w:sz w:val="16"/>
              </w:rPr>
              <w:t>B2</w:t>
            </w:r>
          </w:p>
        </w:tc>
        <w:tc>
          <w:tcPr>
            <w:tcW w:type="dxa" w:w="2608"/>
          </w:tcPr>
          <w:p>
            <w:pPr>
              <w:spacing w:after="0" w:before="0"/>
            </w:pPr>
            <w:r/>
            <w:r>
              <w:rPr>
                <w:b/>
                <w:sz w:val="15"/>
              </w:rPr>
              <w:t>Comparadores modernos ausentes</w:t>
            </w:r>
          </w:p>
        </w:tc>
        <w:tc>
          <w:tcPr>
            <w:tcW w:type="dxa" w:w="6917"/>
          </w:tcPr>
          <w:p>
            <w:pPr>
              <w:spacing w:after="0" w:before="0"/>
            </w:pPr>
            <w:r/>
            <w:r>
              <w:rPr>
                <w:b w:val="0"/>
                <w:sz w:val="15"/>
              </w:rPr>
              <w:t>Se agregan: actuado afinado, presión máxima, cota óptima por programación dinámica y una política neuronal entrenada con la misma optimización; todos con el protocolo de la Sección VII (Tabla 3 (p. 5)).</w:t>
            </w:r>
          </w:p>
        </w:tc>
        <w:tc>
          <w:tcPr>
            <w:tcW w:type="dxa" w:w="5159"/>
          </w:tcPr>
          <w:p>
            <w:pPr>
              <w:spacing w:after="0" w:before="0"/>
            </w:pPr>
            <w:r/>
            <w:r>
              <w:rPr>
                <w:b w:val="0"/>
                <w:sz w:val="15"/>
              </w:rPr>
              <w:t>Oficial: Webster 13.81, actuado afinado 9.63, presión máxima 17.44, óptimo 9.35, política neuronal 8.09, FLC-O 7.91 s/veh.</w:t>
            </w:r>
          </w:p>
        </w:tc>
      </w:tr>
      <w:tr>
        <w:tc>
          <w:tcPr>
            <w:tcW w:type="dxa" w:w="794"/>
          </w:tcPr>
          <w:p>
            <w:pPr>
              <w:spacing w:after="0" w:before="0"/>
            </w:pPr>
            <w:r/>
            <w:r>
              <w:rPr>
                <w:b/>
                <w:sz w:val="16"/>
              </w:rPr>
              <w:t>B3</w:t>
            </w:r>
          </w:p>
        </w:tc>
        <w:tc>
          <w:tcPr>
            <w:tcW w:type="dxa" w:w="2608"/>
          </w:tcPr>
          <w:p>
            <w:pPr>
              <w:spacing w:after="0" w:before="0"/>
            </w:pPr>
            <w:r/>
            <w:r>
              <w:rPr>
                <w:b/>
                <w:sz w:val="15"/>
              </w:rPr>
              <w:t>Variante de Takagi y Sugeno no implementada</w:t>
            </w:r>
          </w:p>
        </w:tc>
        <w:tc>
          <w:tcPr>
            <w:tcW w:type="dxa" w:w="6917"/>
          </w:tcPr>
          <w:p>
            <w:pPr>
              <w:spacing w:after="0" w:before="0"/>
            </w:pPr>
            <w:r/>
            <w:r>
              <w:rPr>
                <w:b w:val="0"/>
                <w:sz w:val="15"/>
              </w:rPr>
              <w:t>FLC-O es un sistema de Mamdani con consecuentes de un solo punto, equivalente a uno de Takagi y Sugeno de orden cero (Ec. (7) (p. 5), Sec. VI-B (p. 4)); es la variante que se entrena y se evalúa.</w:t>
            </w:r>
          </w:p>
        </w:tc>
        <w:tc>
          <w:tcPr>
            <w:tcW w:type="dxa" w:w="5159"/>
          </w:tcPr>
          <w:p>
            <w:pPr>
              <w:spacing w:after="0" w:before="0"/>
            </w:pPr>
            <w:r/>
            <w:r>
              <w:rPr>
                <w:b w:val="0"/>
                <w:sz w:val="15"/>
              </w:rPr>
              <w:t>Tabla 2 (p. 5) y Fig. 2 (p. 6) muestran sus 27 reglas y sus funciones de pertenencia aprendidas.</w:t>
            </w:r>
          </w:p>
        </w:tc>
      </w:tr>
      <w:tr>
        <w:tc>
          <w:tcPr>
            <w:tcW w:type="dxa" w:w="794"/>
          </w:tcPr>
          <w:p>
            <w:pPr>
              <w:spacing w:after="0" w:before="0"/>
            </w:pPr>
            <w:r/>
            <w:r>
              <w:rPr>
                <w:b/>
                <w:sz w:val="16"/>
              </w:rPr>
              <w:t>B4</w:t>
            </w:r>
          </w:p>
        </w:tc>
        <w:tc>
          <w:tcPr>
            <w:tcW w:type="dxa" w:w="2608"/>
          </w:tcPr>
          <w:p>
            <w:pPr>
              <w:spacing w:after="0" w:before="0"/>
            </w:pPr>
            <w:r/>
            <w:r>
              <w:rPr>
                <w:b/>
                <w:sz w:val="15"/>
              </w:rPr>
              <w:t>Información que usa el controlador (vista adelante de 10 s)</w:t>
            </w:r>
          </w:p>
        </w:tc>
        <w:tc>
          <w:tcPr>
            <w:tcW w:type="dxa" w:w="6917"/>
          </w:tcPr>
          <w:p>
            <w:pPr>
              <w:spacing w:after="0" w:before="0"/>
            </w:pPr>
            <w:r/>
            <w:r>
              <w:rPr>
                <w:b w:val="0"/>
                <w:sz w:val="15"/>
              </w:rPr>
              <w:t>Se declara que la vista adelante es un supuesto del original y se mide cuánto de la mejora depende de ella (Sec. VIII-C (p. 6)). Sin ella la mejora casi desaparece: el difuso causal no supera al actuado afinado y la mejor variante causal lo supera solo en 1.7 %.</w:t>
            </w:r>
          </w:p>
        </w:tc>
        <w:tc>
          <w:tcPr>
            <w:tcW w:type="dxa" w:w="5159"/>
          </w:tcPr>
          <w:p>
            <w:pPr>
              <w:spacing w:after="0" w:before="0"/>
            </w:pPr>
            <w:r/>
            <w:r>
              <w:rPr>
                <w:b w:val="0"/>
                <w:sz w:val="15"/>
              </w:rPr>
              <w:t>Sin vista adelante: FLC-O causal 9.97 (−3.5 % frente al actuado afinado) y política neuronal causal 9.46 s/veh (1.7 %), frente a 9.63 del actuado afinado; con vista adelante, FLC-O da 7.91 (17.8 %).</w:t>
            </w:r>
          </w:p>
        </w:tc>
      </w:tr>
      <w:tr>
        <w:tc>
          <w:tcPr>
            <w:tcW w:type="dxa" w:w="794"/>
          </w:tcPr>
          <w:p>
            <w:pPr>
              <w:spacing w:after="0" w:before="0"/>
            </w:pPr>
            <w:r/>
            <w:r>
              <w:rPr>
                <w:b/>
                <w:sz w:val="16"/>
              </w:rPr>
              <w:t>B5</w:t>
            </w:r>
          </w:p>
        </w:tc>
        <w:tc>
          <w:tcPr>
            <w:tcW w:type="dxa" w:w="2608"/>
          </w:tcPr>
          <w:p>
            <w:pPr>
              <w:spacing w:after="0" w:before="0"/>
            </w:pPr>
            <w:r/>
            <w:r>
              <w:rPr>
                <w:b/>
                <w:sz w:val="15"/>
              </w:rPr>
              <w:t>Generalización más allá de la Tabla VIII</w:t>
            </w:r>
          </w:p>
        </w:tc>
        <w:tc>
          <w:tcPr>
            <w:tcW w:type="dxa" w:w="6917"/>
          </w:tcPr>
          <w:p>
            <w:pPr>
              <w:spacing w:after="0" w:before="0"/>
            </w:pPr>
            <w:r/>
            <w:r>
              <w:rPr>
                <w:b w:val="0"/>
                <w:sz w:val="15"/>
              </w:rPr>
              <w:t>Cuatro conjuntos de prueba que no se usaron para entrenar: oficial, 64 caudales no vistos, demanda variable y cerca de la saturación (Tabla 6 (p. 7)).</w:t>
            </w:r>
          </w:p>
        </w:tc>
        <w:tc>
          <w:tcPr>
            <w:tcW w:type="dxa" w:w="5159"/>
          </w:tcPr>
          <w:p>
            <w:pPr>
              <w:spacing w:after="0" w:before="0"/>
            </w:pPr>
            <w:r/>
            <w:r>
              <w:rPr>
                <w:b w:val="0"/>
                <w:sz w:val="15"/>
              </w:rPr>
              <w:t>Reducción frente a Pappis y Mamdani: oficial 27.8 %, no vistos 28.8 %, variable 29.8 %, saturado 77.1 %.</w:t>
            </w:r>
          </w:p>
        </w:tc>
      </w:tr>
      <w:tr>
        <w:tc>
          <w:tcPr>
            <w:tcW w:type="dxa" w:w="794"/>
          </w:tcPr>
          <w:p>
            <w:pPr>
              <w:spacing w:after="0" w:before="0"/>
            </w:pPr>
            <w:r/>
            <w:r>
              <w:rPr>
                <w:b/>
                <w:sz w:val="16"/>
              </w:rPr>
              <w:t>B6</w:t>
            </w:r>
          </w:p>
        </w:tc>
        <w:tc>
          <w:tcPr>
            <w:tcW w:type="dxa" w:w="2608"/>
          </w:tcPr>
          <w:p>
            <w:pPr>
              <w:spacing w:after="0" w:before="0"/>
            </w:pPr>
            <w:r/>
            <w:r>
              <w:rPr>
                <w:b/>
                <w:sz w:val="15"/>
              </w:rPr>
              <w:t>Sobreajuste y fuga de información</w:t>
            </w:r>
          </w:p>
        </w:tc>
        <w:tc>
          <w:tcPr>
            <w:tcW w:type="dxa" w:w="6917"/>
          </w:tcPr>
          <w:p>
            <w:pPr>
              <w:spacing w:after="0" w:before="0"/>
            </w:pPr>
            <w:r/>
            <w:r>
              <w:rPr>
                <w:b w:val="0"/>
                <w:sz w:val="15"/>
              </w:rPr>
              <w:t>Entrenamiento con caudales sorteados (semillas 100000+), validación con otros (200000+) y prueba en la Tabla VIII; el verde mínimo se eligió con validación, no con la prueba. La sensibilidad a la semilla de entrenamiento (tres semillas) está en la Tabla S5 del suplemento (p. 3).</w:t>
            </w:r>
          </w:p>
        </w:tc>
        <w:tc>
          <w:tcPr>
            <w:tcW w:type="dxa" w:w="5159"/>
          </w:tcPr>
          <w:p>
            <w:pPr>
              <w:spacing w:after="0" w:before="0"/>
            </w:pPr>
            <w:r/>
            <w:r>
              <w:rPr>
                <w:b w:val="0"/>
                <w:sz w:val="15"/>
              </w:rPr>
              <w:t>Hiperparámetros: Sec. II del suplemento (p. 1); semillas: Sec. VII del suplemento (p. 2).</w:t>
            </w:r>
          </w:p>
        </w:tc>
      </w:tr>
      <w:tr>
        <w:tc>
          <w:tcPr>
            <w:tcW w:type="dxa" w:w="794"/>
          </w:tcPr>
          <w:p>
            <w:pPr>
              <w:spacing w:after="0" w:before="0"/>
            </w:pPr>
            <w:r/>
            <w:r>
              <w:rPr>
                <w:b/>
                <w:sz w:val="16"/>
              </w:rPr>
              <w:t>B7</w:t>
            </w:r>
          </w:p>
        </w:tc>
        <w:tc>
          <w:tcPr>
            <w:tcW w:type="dxa" w:w="2608"/>
          </w:tcPr>
          <w:p>
            <w:pPr>
              <w:spacing w:after="0" w:before="0"/>
            </w:pPr>
            <w:r/>
            <w:r>
              <w:rPr>
                <w:b/>
                <w:sz w:val="15"/>
              </w:rPr>
              <w:t>Limitaciones declaradas</w:t>
            </w:r>
          </w:p>
        </w:tc>
        <w:tc>
          <w:tcPr>
            <w:tcW w:type="dxa" w:w="6917"/>
          </w:tcPr>
          <w:p>
            <w:pPr>
              <w:spacing w:after="0" w:before="0"/>
            </w:pPr>
            <w:r/>
            <w:r>
              <w:rPr>
                <w:b w:val="0"/>
                <w:sz w:val="15"/>
              </w:rPr>
              <w:t>Sec. IX (p. 7): la mejora depende de la vista adelante; cerca de la saturación el resultado no es el mejor; todo es simulación con un cruce y llegadas de Bernoulli; el retardo corregido no es comparable con la Tabla VIII del original.</w:t>
            </w:r>
          </w:p>
        </w:tc>
        <w:tc>
          <w:tcPr>
            <w:tcW w:type="dxa" w:w="5159"/>
          </w:tcPr>
          <w:p>
            <w:pPr>
              <w:spacing w:after="0" w:before="0"/>
            </w:pPr>
            <w:r/>
            <w:r>
              <w:rPr>
                <w:b w:val="0"/>
                <w:sz w:val="15"/>
              </w:rPr>
              <w:t>Saturado: FLC-O 24.29, Pappis y Mamdani 105.87, actuado afinado 24.13 s/veh.</w:t>
            </w:r>
          </w:p>
        </w:tc>
      </w:tr>
    </w:tbl>
    <w:p/>
    <w:p>
      <w:r>
        <w:rPr>
          <w:b/>
          <w:sz w:val="20"/>
        </w:rPr>
        <w:t>Notas finales</w:t>
      </w:r>
    </w:p>
    <w:p>
      <w:r>
        <w:rPr>
          <w:sz w:val="17"/>
        </w:rPr>
        <w:t>La rama optimizacion del repositorio público https://github.com/INVESTVALQUISP/PROYECTO_INVESTIGACION/tree/optimizacion contiene el código, las pruebas, los resultados (resultados/opt/) y los manuscritos de ambas versiones; la rama main conserva la versión de réplica.</w:t>
      </w:r>
    </w:p>
    <w:p>
      <w:r>
        <w:rPr>
          <w:sz w:val="17"/>
        </w:rPr>
        <w:t>Puntos abiertos que dependen de los autores: validar con datos de campo, y entrenar con un rango de caudales que cubra la saturación (trabajo futuro del manuscrito).</w:t>
      </w:r>
    </w:p>
    <w:sectPr w:rsidR="00FC693F" w:rsidRPr="0006063C" w:rsidSect="00034616">
      <w:pgSz w:w="16838" w:h="11906" w:orient="landscape"/>
      <w:pgMar w:top="737" w:right="680" w:bottom="73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Matriz de Respuesta del Autor — versión de optimización</dc:title>
  <dc:subject/>
  <dc:creator>Raul Nolberto Quispe Saya; Kevin Luis Valero Ccacya</dc:creator>
  <cp:keywords/>
  <dc:description/>
  <cp:lastModifiedBy>Raul Nolberto Quispe Saya; Kevin Luis Valero Ccacya</cp:lastModifiedBy>
  <cp:revision>1</cp:revision>
  <dcterms:created xsi:type="dcterms:W3CDTF">2013-12-23T23:15:00Z</dcterms:created>
  <dcterms:modified xsi:type="dcterms:W3CDTF">2013-12-23T23:15:00Z</dcterms:modified>
  <cp:category/>
</cp:coreProperties>
</file>