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INSTITUTO OSWALDO CRUZ — IOC / FIOCRUZ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Comunicação Estratégica &amp; Tecnologia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1a5276" w:space="4" w:sz="6" w:val="single"/>
          <w:bottom w:color="1a5276" w:space="4" w:sz="6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2"/>
          <w:szCs w:val="22"/>
          <w:rtl w:val="0"/>
        </w:rPr>
        <w:t xml:space="preserve">PRODUCT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Nova Plataforma Digital do IOC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24"/>
          <w:szCs w:val="24"/>
          <w:rtl w:val="0"/>
        </w:rPr>
        <w:t xml:space="preserve">CMS Institucional em Laravel · Portal Multi-Departamento IOC/Fiocruz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Versão </w:t>
      </w:r>
      <w:r w:rsidDel="00000000" w:rsidR="00000000" w:rsidRPr="00000000">
        <w:rPr>
          <w:color w:val="555555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.0  ·  Março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Elaborado por Matheus Fernandes Cunha — TI / Comunicação Estratégica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86c1"/>
          <w:sz w:val="18"/>
          <w:szCs w:val="18"/>
          <w:rtl w:val="0"/>
        </w:rPr>
        <w:t xml:space="preserve">7 Personas · 6 Fluxos UX · Jornadas · Requisitos · Análise de Opções ·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35400"/>
          <w:sz w:val="20"/>
          <w:szCs w:val="20"/>
          <w:rtl w:val="0"/>
        </w:rPr>
        <w:t xml:space="preserve">Classificação: Institucional — Uso Interno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1. Visão Geral 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1.1 Antecedentes e Declaração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Instituto Oswaldo Cruz (IOC/Fiocruz) opera sua presença digital em um sistema construído sobre o Drupal 7. O desenvolvimento teve início em 2012 e o sistema foi entregue em 2022. Em janeiro de 2025, a plataforma atingiu o fim oficial do ciclo de suporte — sem perspectiva de novos patches de segurança. Ao longo de sua vida útil, o sistema acumulou extensas customizações fora do padrão Drupal, tornando qualquer manutenção arriscada e tecnicamente onerosa.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left w:color="d35400" w:space="6" w:sz="12" w:val="single"/>
        </w:pBdr>
        <w:shd w:fill="fdebd0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Declaração do problema: O IOC opera uma plataforma digital tecnicamente obsoleta e fora de suporte, que representa risco crescente de segurança, impede a evolução dos serviços digitais institucionais e impossibilita conformidade com LGPD e padrões de acessibilidade obrigatórios para entidades públicas federais.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1.2 Por Que Esta Iniciativa É Urgente Agora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Drupal 7 sem suporte de segurança desde janeiro de 2025 — vulnerabilidades descobertas daqui em diante não terão correção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tentativa anterior de migração para Drupal 10 </w:t>
      </w:r>
      <w:r w:rsidDel="00000000" w:rsidR="00000000" w:rsidRPr="00000000">
        <w:rPr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oi encerrada sem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Conformidade com LGPD e padrões eMAG/WCAG é obrigação legal — não pode ser adiada indefinidamente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crescimento digital do IOC (novos cursos, materiais educativos, coleções, laboratórios) está travado pelas limitações do sistema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1.3 O Portal como Plataforma Multi-Departamento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IOC não é um site institucional simples — é um portal que serve múltiplas diretorias e áreas com públicos, conteúdos e necessidades distintas. A nova plataforma deve comportar essa diversidade de forma organizada e sustentável: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000"/>
        <w:gridCol w:w="4660"/>
        <w:tblGridChange w:id="0">
          <w:tblGrid>
            <w:gridCol w:w="1800"/>
            <w:gridCol w:w="3000"/>
            <w:gridCol w:w="4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Diretoria / Setor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Conteúdos e 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Comunicação Estratégica / Presidência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Sobre o IOC, estrutura organizacional, notícias, agenda, editais, documentos oficiais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Diretoria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Laboratórios, linhas de pesquisa, pesquisadores, projetos, publicações científicas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Diretoria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Pós-graduação, cursos técnicos, IOC+Escolas, jogos educativos, livros, cartilhas, materiais didáticos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Coleções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Diretoria de Coleções Biológicas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Acervo de coleções biológicas, registros científicos, metadados, exportação de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2e86c1" w:space="6" w:sz="12" w:val="single"/>
        </w:pBdr>
        <w:shd w:fill="d6eaf8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Cada área tem seu próprio gestor, seus editores e seu público-alvo. A plataforma deve permitir que cada diretoria administre seu espaço com autonomia, dentro de uma identidade visual e estrutura de navegação unificadas.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1.4 Alinhamento com Metas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Missão Fiocruz: excelência em ciência, tecnologia e inovação em saúde — o portal é a vitrine pública dessa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Padrão gov.br: conformidade obrigatória com identidade visual, acessibilidade e segurança do Governo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Comunicação autônoma: a equipe de comunicação publica conteúdo sem depender de TI para cada alteração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Acesso à ciência: facilitar o acesso do público externo — pesquisadores, alunos, parceiros e sociedade — à produção científica e educacional do IOC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2. Diagnóstico: Problemas Identificados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Diagnóstico técnico realizado entre setembro de 2025 e fevereiro de 2026, incluindo análise de código-fonte, inventário de conteúdo, estudo do servidor e banco de 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660"/>
        <w:tblGridChange w:id="0">
          <w:tblGrid>
            <w:gridCol w:w="2800"/>
            <w:gridCol w:w="6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Sistema fora de suporte (EOL)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 Drupal 7 encerrou suporte oficial em janeiro de 2025. Vulnerabilidades descobertas a partir de agora não terão patch, expondo dados institucionais e serviços públicos a risco crescente e sem solução.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Débito técnico (2012–2022)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 construído com customizações extensas fora do padrão Drupal: módulos desatualizados,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“soluções tópicas”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e código sem documentação. Qualquer alteração tem risco alto de quebrar funcionalidades existentes.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sdt>
              <w:sdtPr>
                <w:id w:val="-2924191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00"/>
                    <w:sz w:val="19"/>
                    <w:szCs w:val="19"/>
                    <w:rtl w:val="0"/>
                  </w:rPr>
                  <w:t xml:space="preserve">Migração Drupal 7 → 10 é reescrita total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Não existe caminho de atualização incremental do Drupal 7 para versões superiores: o sistema precisa ser reconstruído do zero. Isso nivela o custo de migração para Drupal 10 com o custo de qualquer outra tecnologia moderna.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Tentativa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Projeto de migração para Drupal 10 iniciado foi encerrado em 2025 sem entrega.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Ausência de continuidade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 conhecimento do sistema está concentrado em poucos profissionais. O TI não dispõe de especialistas disponíveis — risco de dependência de pessoa-chave independente da tecnologia escolhida.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Risco institucional e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de instituição científica federal. Falhas de segurança, disponibilidade ou acessibilidade têm impacto reputacional direto e potencial legal (LGPD, eMAG/WCAG).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3. Partes Interessadas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3060"/>
        <w:gridCol w:w="2000"/>
        <w:tblGridChange w:id="0">
          <w:tblGrid>
            <w:gridCol w:w="2200"/>
            <w:gridCol w:w="2200"/>
            <w:gridCol w:w="30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Parte Interessada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 /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Influência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Direção IOC / Presidência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Patrocinador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Aprovação final do projeto e prioridades institucionais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Comunicação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Cliente / Usuário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Valida escopo, conteúdo e 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Coordenação de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Fornecedor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Servidores, redes, segurança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Vice-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Diretor de 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Árbitro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Decisão sobre tecnologia e continuidade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Diretorias (Pesquisa, Ensino, Coleções)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Usuários internos / gestores de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Conteúdo e serviços de cada diretoria no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Público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Usuário final do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Acesso às informações institucionais, científicas e educacionais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Desenvolvedor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Executor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Desenvolvimento, entrega, documentação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4. Análise de Opções Tecnológicas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Quatro opções foram avaliadas e apresentadas em reunião multissetorial com o TI em 26 de fevereiro de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60"/>
        <w:gridCol w:w="1850"/>
        <w:gridCol w:w="1850"/>
        <w:gridCol w:w="1850"/>
        <w:gridCol w:w="1850"/>
        <w:tblGridChange w:id="0">
          <w:tblGrid>
            <w:gridCol w:w="2060"/>
            <w:gridCol w:w="1850"/>
            <w:gridCol w:w="1850"/>
            <w:gridCol w:w="1850"/>
            <w:gridCol w:w="1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Drupal 7 (atual)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Drupal 10/11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Laravel (proposto)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WordPress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Risco de segurança (EOL)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19"/>
                <w:szCs w:val="19"/>
                <w:rtl w:val="0"/>
              </w:rPr>
              <w:t xml:space="preserve">Crítico — sem 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Custo de migração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Reescrita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Reescrita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Reescrita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Profissionais no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Escasso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Escasso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Abundante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Abundante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Curva de aprendizado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 (código legado)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Flexibilidade de 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Nenhuma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Muito 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Adequação a portal multi-depto.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Limitada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Custo de licença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Integração com sistemas Fiocruz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Difícil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 (API nativa)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Suporte infraestrutura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Sim (atual)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Conformidade eMAG / WCAG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Tentativa anterior no 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 atual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desenvolvido entre 2012 e 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Em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sdt>
              <w:sdtPr>
                <w:id w:val="167316664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d35400"/>
                    <w:sz w:val="19"/>
                    <w:szCs w:val="19"/>
                    <w:rtl w:val="0"/>
                  </w:rPr>
                  <w:t xml:space="preserve">❌ Inviável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19"/>
                <w:szCs w:val="19"/>
                <w:rtl w:val="0"/>
              </w:rPr>
              <w:t xml:space="preserve">⚠️ Alternativa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d5f5e3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sdt>
              <w:sdtPr>
                <w:id w:val="-9407808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19"/>
                    <w:szCs w:val="19"/>
                    <w:rtl w:val="0"/>
                  </w:rPr>
                  <w:t xml:space="preserve">✅ Recomendada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19"/>
                <w:szCs w:val="19"/>
                <w:rtl w:val="0"/>
              </w:rPr>
              <w:t xml:space="preserve">⚠️ Alternativa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4.1 Por Que Não Drupal 10/11?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projeto de migração para Drupal 10 iniciado </w:t>
      </w:r>
      <w:r w:rsidDel="00000000" w:rsidR="00000000" w:rsidRPr="00000000">
        <w:rPr>
          <w:sz w:val="20"/>
          <w:szCs w:val="20"/>
          <w:rtl w:val="0"/>
        </w:rPr>
        <w:t xml:space="preserve">foi colocado em espera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sem entrega — há evidência concreta de fracasso com essa tecnologia no contexto do IOC visto o</w:t>
      </w:r>
      <w:r w:rsidDel="00000000" w:rsidR="00000000" w:rsidRPr="00000000">
        <w:rPr>
          <w:sz w:val="20"/>
          <w:szCs w:val="20"/>
          <w:rtl w:val="0"/>
        </w:rPr>
        <w:t xml:space="preserve"> Durpal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sdt>
        <w:sdtPr>
          <w:id w:val="-136890082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Migração Drupal 7 → 10 exige reescrita completa do sistema, então o esforço é equivalente ao de qualquer outra tecnologia moderna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TI dispõe de profissionais com experiência em Drupal 10, </w:t>
      </w:r>
      <w:r w:rsidDel="00000000" w:rsidR="00000000" w:rsidRPr="00000000">
        <w:rPr>
          <w:sz w:val="20"/>
          <w:szCs w:val="20"/>
          <w:rtl w:val="0"/>
        </w:rPr>
        <w:t xml:space="preserve">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 mercado brasileiro tem baixa oferta nessa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Repetir a tentativa com Drupal 10 sem recursos adicionais e com histórico de insucesso representa risco institucional elevado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4.2 Por Que Não WordPress?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WordPress é otimizado para blogs e sites de conteúdo simples — o IOC é um portal multi-departamento com necessidades científicas específicas como coleções biológicas, módulos de laboratórios e área de ensino com materiais educativos diversos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Customizações complexas em WordPress tendem a gerar o mesmo tipo de débito técnico que o Drupal 7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 o CMS mais atacado do mundo, exigindo manutenção constante de plugins e temas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4.3 Por Que Laravel?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1e8449" w:space="6" w:sz="12" w:val="single"/>
        </w:pBdr>
        <w:shd w:fill="d5f5e3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Laravel é a escolha com melhor equilíbrio entre flexibilidade, sustentabilidade, mercado de profissionais e adequação às necessidades específicas de um portal multi-departamento como o do IOC.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 PHP mais popular do Brasil e do mundo: ampla oferta de profissionais para manutenção e evolução futura, reduzindo a dependência de pessoa-chave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Arquitetura modular por design: cada área do portal (Institucional, Pesquisa, Ensino, Coleções) é um módulo independente, sem </w:t>
      </w:r>
      <w:r w:rsidDel="00000000" w:rsidR="00000000" w:rsidRPr="00000000">
        <w:rPr>
          <w:sz w:val="20"/>
          <w:szCs w:val="20"/>
          <w:rtl w:val="0"/>
        </w:rPr>
        <w:t xml:space="preserve">desvios técnicos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nem acoplamento desnecessário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API-first nativo: qualquer sistema futuro pode consumir o conteúdo do IOC sem reescrever a plataforma — base natural para integrações com SIGA, ARCA, EAD e para uma futura API pública de coleções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Ecossistema maduro e documentado: Laravel Sanctum (autenticação), Laravel Scout + MeiliSearch (busca), Laravel Horizon (filas), Blade + Vue.js (frontend) — tudo com suporte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 nativo: containerização total compatível com a infraestrutura existente do TI, sem necessidade de novo investimento em 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Testabilidade desde o início: PHPUnit integrado permite cobertura de testes automatizados, reduzindo risco de regressões a cada nova funcionalidade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Comunidade ativa no Brasil: eventos, fóruns, cursos e documentação em português — facilita diretamente a capacitação do profissional de TI a ser designado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Ciclo de vida longo e previsível: versionamento semântico com LTS (Long Term Support) — sem risco de EOL abrupto como o que ocorreu com o Drupal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Controle total do código: sem dependência de módulos de terceiros frágeis — todo o comportamento é código próprio, documentado, auditável e mantido pela equipe IOC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5. Personas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portal do IOC atende a sete perfis de usuários com necessidades, objetivos e comportamentos distintos. As personas foram identificadas durante o diagnóstico técnico realizado entre setembro de 2025 e fevereiro de 2026: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2070"/>
        <w:gridCol w:w="2610"/>
        <w:gridCol w:w="2580"/>
        <w:tblGridChange w:id="0">
          <w:tblGrid>
            <w:gridCol w:w="1695"/>
            <w:gridCol w:w="2070"/>
            <w:gridCol w:w="2610"/>
            <w:gridCol w:w="2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Quem 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 no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sistema precisa oferecer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1. Editor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Assessores e técnicos das diretorias (Comunicação, Pesquisa, Ensino, Coleções)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Criar, editar e publicar conteúdo da sua área com autonomia, sem depender do TI para cada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Editor rico (WYSIWYG), agendamento de publicação, fluxo de aprovação, biblioteca de mídia, histórico de versões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2. Gestor de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Coordenadores e diretores das quatro áreas do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Garantir que o espaço da sua área esteja atualizado, bem organizado e com as informações corretas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Painel setorial, controle de equipe de editores da área, visualização de conteúdos por setor, relatórios de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3. Administrador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Equipe de Tecnologia da Informação do 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Gerenciar usuários, permissões e saúde técnica do sistema sem precisar modificar código-fonte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Painel de administração, gestão RBAC, logs de auditoria, monitoramento do sistema, integração com infraestrutura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4. Pesquisador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Pesquisadores externos, docentes, cientistas e profissionais de saúde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Encontrar publicações científicas, dados de laboratórios, registros de coleções e informações sobre grupos de pesquisa do 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Busca avançada com filtros científicos, exportação de metadados, perfis de laboratório detalhados, acesso a publicações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5. Visitante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Jornalistas, população geral, estudantes de graduação, curiosos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Acessar notícias, eventos e informações institucionais de forma rápida e compreensível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responsivo, linguagem acessível, busca simples, acesso sem cadastro, conformidade eMAG/WCAG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6. Aluno / Candidato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Alunos de pós-graduação, técnicos em formação, candidatos a cursos, professores e alunos do ensino básico (IOC+Escolas)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Encontrar informações sobre cursos, programas, editais, materiais educativos (livros, cartilhas, jogos), inscrições e calendários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ensino organizada por tipo de curso, materiais para download, calendário de eventos educacionais, informações de inscrição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7. Parceiro / Cliente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Empresas, órgãos públicos, hospitais e instituições que utilizam serviços do IOC (laboratórios de referência, diagnóstico, ensaios, consultorias técnicas)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Entender os serviços oferecidos pelo IOC, identificar o laboratório ou área responsável e iniciar contato para contratação ou parceria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 de serviços e laboratórios com capacidades técnicas, informações de contato institucional, área de parceiros e convênios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6. Casos de Uso e Jornadas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6.1 Principais Jornadas por Persona</w:t>
      </w:r>
      <w:r w:rsidDel="00000000" w:rsidR="00000000" w:rsidRPr="00000000">
        <w:rPr>
          <w:rtl w:val="0"/>
        </w:rPr>
      </w:r>
    </w:p>
    <w:tbl>
      <w:tblPr>
        <w:tblStyle w:val="Table6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600"/>
        <w:gridCol w:w="2400"/>
        <w:gridCol w:w="2460"/>
        <w:tblGridChange w:id="0">
          <w:tblGrid>
            <w:gridCol w:w="2000"/>
            <w:gridCol w:w="2600"/>
            <w:gridCol w:w="2400"/>
            <w:gridCol w:w="2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Jornada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Editor publica notícia (Comunicação)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sdt>
              <w:sdtPr>
                <w:id w:val="36882037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Login → Criar conteúdo → Preencher campos → Upload de mídia → Salvar rascunho → Enviar para revisão → Aprovação → Publicar ou Agendar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Fluxo editorial configurável (com ou sem revisão por área); notificação de aprovação; histórico de versões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Notícia publicada no portal e indexada na busca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Pesquisador busca dados de coleção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sdt>
              <w:sdtPr>
                <w:id w:val="-32999116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Acessar portal → Área de Coleções → Filtrar por taxonomia / tipo → Visualizar registros → Exportar dados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Filtros científicos por taxonomia, localidade e tipo; metadados completos conforme Darwin Core; exportação em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Pesquisador exporta os registros necessários para sua pesquisa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Aluno busca material educativo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sdt>
              <w:sdtPr>
                <w:id w:val="-1688316885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Acessar portal → Área de Ensino → Filtrar por tipo (livro, cartilha, jogo, curso) → Download ou inscrição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ensino organizada por categoria; download direto sem cadastro para materiais abertos; busca por palavra-chave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Aluno encontra e baixa o material ou encontra as informações do curso desejado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Parceiro identifica serviço do IOC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sdt>
              <w:sdtPr>
                <w:id w:val="-191228469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Acessar portal → Serviços / Laboratórios de Referência → Filtrar por área ou tipo de serviço → Visualizar capacidades → Contato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 de laboratórios e serviços com descrição técnica clara; informação de contato institucional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Parceiro identifica o laboratório correto e inicia contato com a equipe 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Visitante acessa notícia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sdt>
              <w:sdtPr>
                <w:id w:val="-149744734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Acessar portal → Notícias → Filtrar por área ou data → Ler notícia → Compartilhar ou navegar para conteúdo relacionado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responsivo; tempo de carregamento &lt; 3s; navegação breadcrumb; conteúdos relacionados sugeridos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Visitante lê a notícia e navega para outros conteúdos do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Admin cria novo usuário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sdt>
              <w:sdtPr>
                <w:id w:val="-177850182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Login → Painel admin → Gerenciar usuários → Criar usuário → Definir papel (Editor) e área (ex.: Ensino) → Confirmar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Gestão RBAC por área; log de auditoria de todas as ações; e-mail automático de boas-vindas ao novo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Usuário criado com permissões corretas para sua área; ação registrada no log de auditoria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7. Fluxos de 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seis fluxos abaixo cobrem todas as sete personas do portal. Cada diagrama usa cor própria para facilitar a identificação da persona em foco: azul (Editor/Admin TI), roxo (Aluno/Candidato), verde-escuro (Pesquisador) e dourado (Parceiro Institucional).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7.1 Editor — Criar e Publicar Conteúdo (Portal Multi-Área)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Fluxo central do painel administrativo. Destaque para a seleção de área (Institucional, Pesquisa, Ensino ou Coleções) e o fluxo de aprovação configurável por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3213" cy="614851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3213" cy="614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2e86c1" w:space="6" w:sz="12" w:val="single"/>
        </w:pBdr>
        <w:shd w:fill="d6eaf8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fluxo de aprovação é configurável por área: setores com equipe pequena publicam diretamente; áreas com maior volume editorial exigem revisão antes da publicação. O auto-save a cada 30s previne perda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7.2 Visitante Público — Buscar e Acessar 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Usuário de maior volume. A busca global com MeiliSearch é o elemento crítico — pesquisadores, jornalistas e estudantes frequentemente chegam ao portal sem saber onde está o conteúdo.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600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d35400" w:space="6" w:sz="12" w:val="single"/>
        </w:pBdr>
        <w:shd w:fill="fdebd0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MeiliSearch oferece tolerância a erros de digitação e sugestão de termos alternativos — essencial para um portal com conteúdo técnico e científico onde nomes de espécies, laboratórios e programas são complexos.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7.3 Aluno / Candidato — Encontrar Curso ou Material Educativo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Fluxo específico para a Área de Ensino. Três caminhos distintos: pós-graduação, cursos e materiais educativos (livros, cartilhas, jogos do IOC+Escolas).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75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Bdr>
          <w:left w:color="2e86c1" w:space="6" w:sz="12" w:val="single"/>
        </w:pBdr>
        <w:shd w:fill="d6eaf8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download direto sem necessidade de cadastro é requisito para materiais abertos (livros, cartilhas, jogos educativos). Isso reduz fricção para o público do IOC+Escolas e aumenta o alcance educacional do IOC.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7.4 Pesquisador — Buscar e Exportar Dados de Coleção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Fluxo da Área de Coleções Biológicas. A exportação em Darwin Core é o diferencial científico que posiciona o IOC para futura integração com redes internacionais como o GBIF.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753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1e8449" w:space="6" w:sz="12" w:val="single"/>
        </w:pBdr>
        <w:shd w:fill="d5f5e3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Exportar em Darwin Core desde o primeiro lançamento não tem custo adicional e abre caminho natural para a futura API pública de coleções — um dos maiores ativos científicos que o Laravel entrega sem esforço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7.5 Parceiro / Cliente — Identificar Serviço do IOC  [Roadmap Futuro]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Fluxo planejado para a futura Área de Parceiros e Serviços Institucionais. Registrado aqui para orientar a arquitetura de informação do portal desde o início.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544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7d6608" w:space="6" w:sz="12" w:val="single"/>
        </w:pBdr>
        <w:shd w:fill="fef9e7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Esta área está fora do escopo dos 9 meses, mas o fluxo orienta o design da navegação do portal já na Fase 1, evitando retrabalho de estrutura quando a área de serviços for implementada.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7.6 Administrador TI — Gerenciar Usuários e Permissões (RBAC por Área)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Fluxo atualizado para o modelo multi-departamento: permissões são atribuídas por área, não globalmente. Cada editor enxerga e edita somente o conteúdo da sua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6057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left w:color="2e86c1" w:space="6" w:sz="12" w:val="single"/>
        </w:pBdr>
        <w:shd w:fill="d6eaf8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Log de auditoria de todas as ações administrativas é requisito obrigatório para conformidade com LGPD. Com 7 personas e 4 áreas, o controle granular por papel e área é essencial para a segurança do portal.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8. Escopo do Produto — 9 Meses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left w:color="1e8449" w:space="6" w:sz="12" w:val="single"/>
        </w:pBdr>
        <w:shd w:fill="d5f5e3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 escopo foi calibrado para 9 meses de desenvolvimento por um desenvolvedor. O foco é entregar uma plataforma sólida, segura e completa para o portal institucional do IOC — sem comprometer a qualidade por excesso de escopo.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8.1 Dentro do Escopo</w:t>
      </w:r>
      <w:r w:rsidDel="00000000" w:rsidR="00000000" w:rsidRPr="00000000">
        <w:rPr>
          <w:rtl w:val="0"/>
        </w:rPr>
      </w:r>
    </w:p>
    <w:tbl>
      <w:tblPr>
        <w:tblStyle w:val="Table7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4360"/>
        <w:gridCol w:w="2200"/>
        <w:tblGridChange w:id="0">
          <w:tblGrid>
            <w:gridCol w:w="700"/>
            <w:gridCol w:w="2200"/>
            <w:gridCol w:w="43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 /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CMS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sdt>
              <w:sdtPr>
                <w:id w:val="-4205301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Tipos de conteúdo customizáveis por área, editor rico (WYSIWYG), versionamento, fluxo editorial configurável (rascunho → revisão → publicação), agendamento, controle de acesso RBAC por área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1 — meses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Autenticação própria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Login e gestão de usuários com autenticação interna; papéis e permissões por área do portal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1 — meses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público —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Página inicial, sobre o IOC, estrutura organizacional, notícias, agenda de eventos, editais, documentos oficiais; responsivo, eMAG/WCAG 2.1 AA, padrão visual IOC/gov.br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1 — meses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Biblioteca de 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Upload e organização de imagens, vídeos e documentos; thumbnails automáticos; integração com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1 — meses 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 de laboratórios com pesquisadores e projetos; publicações científicas; linhas de pesquisa por 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2 — meses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Pós-graduação, cursos técnicos, IOC+Escolas, jogos educativos, livros e cartilhas para download; calendário de eventos educacionais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2 — meses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Busca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Busca full-text integrada entre todas as áreas do portal via MeiliSearch: tolerância a erros, filtros por área e tipo, sugestão de termos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2 — meses 4–6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Coleções Biológicas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Catálogo de coleções com metadados científicos, filtros por taxonomia, exportação em CSV conforme Darwin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3 — meses 7–8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Testes, documentação 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sdt>
              <w:sdtPr>
                <w:id w:val="72847270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Cobertura de testes ≥ 80%, documentação técnica completa, treinamento das equipes, handover ao TI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Fase 4 — mês 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8.2 Fora do Escopo (nesta versão)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único institucional (SSO) com Shibboleth/Keycloak — autenticação própria é suficiente para esta versão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Portais dos programas de pós-graduação em servidores separados — centralização fica para versão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Integrações com sistemas externos (SIGA, ARCA, EAD) — ver Seção 10 (Roadmap Futuro)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pública — ver Seção 10 (Roadmap Futuro)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Área de parceiros e serviços institucionais (laboratórios de referência) — prevista para versão futura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Aplicativo móvel 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Infraestrutura de servidores — responsabilidade exclusiva do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9.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9.1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Escritos na perspectiva do usuário, com critérios de aceite mensuráveis. Detalhamento técnico completo no SRS (ISO/IEC/IEEE 29148).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500"/>
        <w:gridCol w:w="4560"/>
        <w:gridCol w:w="2800"/>
        <w:tblGridChange w:id="0">
          <w:tblGrid>
            <w:gridCol w:w="600"/>
            <w:gridCol w:w="1500"/>
            <w:gridCol w:w="456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História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Aceite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CMS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editor, quero criar tipos de conteúdo específicos por área (notícia, evento, laboratório, material educativo) com campos próprios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Campos obrigatórios validados; rascunho salvo automaticamente a cada 30s; tipos configuráveis pelo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Fluxo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editor, quero enviar conteúdo para revisão e ser notificado sobre aprovação ou rejeição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sdt>
              <w:sdtPr>
                <w:id w:val="-113770384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Estados: rascunho → revisão → aprovado → publicado; notificação por e-mail; histórico de status visível; configurável por área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editor, quero agendar publicação para uma data e hora futuras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Publicação automática no horário agendado (fuso Brasília); cancelamento possível até o momento da publicação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Biblioteca de 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editor, quero fazer upload e reutilizar imagens, vídeos e documentos em múltiplos conteúdos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Upload múltiplo; thumbnails automáticos; busca por nome e tags; formatos e tamanhos configuráveis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Busca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visitante, quero buscar qualquer conteúdo do portal com tolerância a erros de digitação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Resultados em &lt; 300ms; sugestão de termos; filtros por área, tipo e data; destaque do termo buscado nos 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Gestão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admin, quero criar, editar e desativar usuários com papéis e permissões por área do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CRUD completo; desativação sem exclusão; log auditável de todas as ações administrativas; e-mail automático para novo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Pesquisa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pesquisador externo, quero encontrar laboratórios do IOC com seus pesquisadores, projetos e publicações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Listagem filtrável por área; página de laboratório com equipe, projetos e contato; lista de publicações por laboratório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Área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aluno ou candidato, quero encontrar cursos, materiais educativos e informações de inscrição organizados por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Filtro por tipo de conteúdo (pós-graduação, técnico, material educativo); download direto para materiais abertos; calendário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Coleções Biológicas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Como pesquisador, quero consultar e exportar registros de coleções com metadados científicos completos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Filtros por taxonomia, localidade e tipo; exportação em CSV com campos Darwin Core; paginação eficiente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9.2 Requisitos Não Funcionais</w:t>
      </w:r>
      <w:r w:rsidDel="00000000" w:rsidR="00000000" w:rsidRPr="00000000">
        <w:rPr>
          <w:rtl w:val="0"/>
        </w:rPr>
      </w:r>
    </w:p>
    <w:tbl>
      <w:tblPr>
        <w:tblStyle w:val="Table9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900"/>
        <w:gridCol w:w="3060"/>
        <w:gridCol w:w="2700"/>
        <w:tblGridChange w:id="0">
          <w:tblGrid>
            <w:gridCol w:w="1800"/>
            <w:gridCol w:w="1900"/>
            <w:gridCol w:w="30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Como será medido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95% das páginas públicas carregam em &lt; 3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Teste de carga com 200 usuários simultâneos em homologação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sdt>
              <w:sdtPr>
                <w:id w:val="32474442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≥ 99,5% de uptime mensal em produção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Monitoramento contínuo com alertas automáticos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Proteção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Conformidade com LGPD: log de acesso, direito de exclusão, consentimento documentado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Auditoria antes do go-live; DPO notificado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Vulnerabilidades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Zero vulnerabilidades críticas (OWASP Top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Scan automatizado no pipeline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Padrão gov.br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100% das páginas públicas conformes eMAG e WCAG 2.1 nível 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axe-core automatizado + revisão manual por amostragem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Backup diário com retenção de 30 dias; restore testado mensalmente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Teste de restore documentado; alerta de falha de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sdt>
              <w:sdtPr>
                <w:id w:val="119100441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Cobertura de testes unitários ≥ 80%; documentação técnica entregue junto com o código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Relatório de cobertura gerado automaticamente no CI/CD; code review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10. Roadmap Futuro — Oportunidades de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Os itens abaixo ficam fora do escopo dos 9 meses, mas são oportunidades concretas que a arquitetura Laravel foi projetada para suportar nativamente. Estão registrados aqui para orientar o planejamento digital do IOC após a estabilização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10.1 Login Único Institucional (SSO)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Integração com Shibboleth ou Keycloak para autenticação via conta Fiocruz unificada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Permite que o mesmo login acesse o CMS, sistemas acadêmicos e outras plataformas da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camada de autenticação Laravel (Sanctum) já está preparada para receber essa integração sem reescrita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10.2 Portais dos Programas de Pós-Graduação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Os portais dos programas de pós-graduação atualmente dispersos podem ser migrados para a plataforma como sites gerenciados centralmente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Arquitetura multissite: um único backend, múltiplos frontends com identidade visual própria por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Gestores de cada PPG administrariam seu espaço sem afetar os demais portais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10.3 Área de Parceiros e Serviços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Catálogo de laboratórios de referência com descrição detalhada dos serviços oferecidos (diagnóstico, ensaios, consultorias técnicas)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Formulário de solicitação de serviços e área de acompanhamento para parceiros e clientes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Diretório de convênios e parcerias institucionais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10.4 Integrações com Sistemas Fiocruz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SIGA (Sistema Integrado de Gestão Acadêmica): importação automática de grades curriculares, corpo docente e egressos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ARCA (Repositório Institucional): exibição de publicações científicas sincronizadas diretamente no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EAD (Plataforma de Educação a Distância): integração de cursos e materiais didáticos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10.5 API Pública para Coleções Biológicas (Darwin 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left w:color="1e8449" w:space="6" w:sz="12" w:val="single"/>
        </w:pBdr>
        <w:shd w:fill="d5f5e3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Oportunidade de alto valor científico e baixo custo incremental — a arquitetura API-first do Laravel entrega isso nativamente, sem reescrever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IOC possui coleções biológicas de relevância científica internacional. Uma API pública baseada no padrão Darwin Core abriria esse acervo para a comunidade científica global: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Darwin Core é o padrão internacional para compartilhamento de dados de biodiversidade, adotado pelo GBIF (Global Biodiversity Information Facility) e por instituições de pesquisa do mundo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Uma API pública permitiria que sistemas como o GBIF e o SpeciesLink indexassem automaticamente as coleções do IOC — aumentando a visibilidade científica da instituição globalmente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Pesquisadores externos poderiam cruzar dados das coleções do IOC com outras bases mundiais, potencializando colaborações e citações internacionais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Atende ao movimento de Ciência Aberta (Open Science), alinhado com políticas do CNPq, CAPES e da própria Fiocruz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backend Laravel já expõe dados via API REST — publicar um endpoint /api/v1/collections com metadados Darwin Core seria uma extensão natural, sem custo arquitetural adicional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Possibilidade de registro como nó de dados no GBIF, posicionando o IOC como referência brasileira em biodiversidade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10.6 Outras Oportunidades</w:t>
      </w:r>
      <w:r w:rsidDel="00000000" w:rsidR="00000000" w:rsidRPr="00000000">
        <w:rPr>
          <w:rtl w:val="0"/>
        </w:rPr>
      </w:r>
    </w:p>
    <w:tbl>
      <w:tblPr>
        <w:tblStyle w:val="Table10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360"/>
        <w:gridCol w:w="2700"/>
        <w:tblGridChange w:id="0">
          <w:tblGrid>
            <w:gridCol w:w="2400"/>
            <w:gridCol w:w="436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Oportunidade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Quando considerar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Analytics de audiência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Dashboard com Matomo (padrão gov.br) para análise de conteúdo e comportamento do visitante por área do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Após go-live do portal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Formulários de candidatura 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Inscrições para PPGs e cursos técnicos diretamente no portal, integrado ao SIGA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 módulo de PPG — versão futura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Integração com Plataforma Lattes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Importação automática de dados de pesquisadores via API CNPq para perfis de laboratório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Depende de API pública do CNPq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Chatbot institucional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Assistente para FAQ e navegação no portal, útil para visitantes e candidatos a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6+ meses após estabilização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34"/>
          <w:szCs w:val="34"/>
          <w:rtl w:val="0"/>
        </w:rPr>
        <w:t xml:space="preserve">11. Dependências, Riscos e Perguntas Abertas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bottom w:color="2e86c1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11.1 Dependências Críticas</w:t>
      </w:r>
      <w:r w:rsidDel="00000000" w:rsidR="00000000" w:rsidRPr="00000000">
        <w:rPr>
          <w:rtl w:val="0"/>
        </w:rPr>
      </w:r>
    </w:p>
    <w:tbl>
      <w:tblPr>
        <w:tblStyle w:val="Table11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760"/>
        <w:gridCol w:w="3100"/>
        <w:tblGridChange w:id="0">
          <w:tblGrid>
            <w:gridCol w:w="2600"/>
            <w:gridCol w:w="3760"/>
            <w:gridCol w:w="3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 / 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Ambiente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Provisionar servidor com Docker antes do início da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— antes do kick-off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Manual de 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Manual IOC/Fiocruz para design do portal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Comunicação — antes da Fase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Designação de profissional para capacitação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nomeia formalmente 1 profissional para aprender 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— após aprovação do projeto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11.2 Riscos Principais</w:t>
      </w:r>
      <w:r w:rsidDel="00000000" w:rsidR="00000000" w:rsidRPr="00000000">
        <w:rPr>
          <w:rtl w:val="0"/>
        </w:rPr>
      </w:r>
    </w:p>
    <w:tbl>
      <w:tblPr>
        <w:tblStyle w:val="Table12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100"/>
        <w:gridCol w:w="1100"/>
        <w:gridCol w:w="4460"/>
        <w:tblGridChange w:id="0">
          <w:tblGrid>
            <w:gridCol w:w="2800"/>
            <w:gridCol w:w="1100"/>
            <w:gridCol w:w="11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TI não designa profissional para capacitação em Laravel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Formalizar como entregável contratual antes do kick-off; escalar para DIRGEP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Atraso no provisionamento de 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d35400"/>
                <w:sz w:val="19"/>
                <w:szCs w:val="19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SLA de infraestrutura formalizado na Carta de Iniciação; plano B com ambiente local temporário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Mudança de escopo durante o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Change request formal com aprovação; escopo congelado por fase após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Resistência de setores na migração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e86c1"/>
                <w:sz w:val="19"/>
                <w:szCs w:val="19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Envolver editores nos testes de cada fase; treinamentos por área antes do go-live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11.3 Perguntas em Aberto</w:t>
      </w:r>
      <w:r w:rsidDel="00000000" w:rsidR="00000000" w:rsidRPr="00000000">
        <w:rPr>
          <w:rtl w:val="0"/>
        </w:rPr>
      </w:r>
    </w:p>
    <w:tbl>
      <w:tblPr>
        <w:tblStyle w:val="Table13"/>
        <w:tblW w:w="9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1860"/>
        <w:gridCol w:w="1600"/>
        <w:tblGridChange w:id="0">
          <w:tblGrid>
            <w:gridCol w:w="2800"/>
            <w:gridCol w:w="3200"/>
            <w:gridCol w:w="18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Por que importa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Quando resolver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1a527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Quem será o profissional de TI designado para capacitação em Laravel?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Sem esse compromisso, o risco de dependência de pessoa-chave permanece crítico após 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Reunião com DIRGEP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+ DIRGEP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Qual o prazo para provisionamento do ambiente de desenvolvimento?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 início do desenvolvimento está bloqueado até o ambiente estar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Kick-off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/ Infra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A identidade visual oficial do IOC será fornecida até quando?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 design do portal público depende do manual de identidade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Antes da 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2f3f4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Comunicação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Haverá budget para ferramentas de monitoramento?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sdt>
              <w:sdtPr>
                <w:id w:val="19788625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00000"/>
                    <w:sz w:val="19"/>
                    <w:szCs w:val="19"/>
                    <w:rtl w:val="0"/>
                  </w:rPr>
                  <w:t xml:space="preserve">Monitoramento em produção é requisito de confiabilidade (uptime ≥ 99,5%)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Aprovação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d6f1" w:space="0" w:sz="4" w:val="single"/>
              <w:left w:color="aed6f1" w:space="0" w:sz="4" w:val="single"/>
              <w:bottom w:color="aed6f1" w:space="0" w:sz="4" w:val="single"/>
              <w:right w:color="aed6f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 / Financeiro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6"/>
          <w:szCs w:val="26"/>
          <w:rtl w:val="0"/>
        </w:rPr>
        <w:t xml:space="preserve">11.4 Decisões Necessárias — Esta Reunião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Aprovação formal da tecnologia Laravel como stack da nova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Designação de ao menos 1 profissional de TI para capacitação em Laravel durante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Definição de SLA de infraestrutura: prazo para provisionamento do ambiente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Autorização para início do projeto e kick-off com TI e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left w:color="d35400" w:space="6" w:sz="12" w:val="single"/>
        </w:pBdr>
        <w:shd w:fill="fdebd0" w:val="clear"/>
        <w:spacing w:after="140" w:before="1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A manutenção do Drupal 7 além de 2025 não é uma opção segura. A pergunta não é 'se' migrar, mas 'como' e 'com quais recursos'. Este documento propõe o caminho mais sustentável, com menor risco de insucesso técnico e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aed6f1" w:space="4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16"/>
          <w:szCs w:val="16"/>
          <w:rtl w:val="0"/>
        </w:rPr>
        <w:t xml:space="preserve">Documentação técnica de referência: SRS (ISO/IEC/IEEE 29148)  ·  Arquitetura de Software (ISO/IEC/IEEE 42010)  ·  Design de Software (ISO/IEC/IEEE 1016)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133.8582677165355" w:top="1700.7874015748032" w:left="1700.7874015748032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pBdr>
        <w:top w:color="2e86c1" w:space="2" w:sz="4" w:val="single"/>
      </w:pBdr>
      <w:spacing w:before="80" w:lineRule="auto"/>
      <w:jc w:val="center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Classificação: Institucional — Uso Interno  |  Página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pBdr>
        <w:bottom w:color="2e86c1" w:space="2" w:sz="4" w:val="single"/>
      </w:pBdr>
      <w:spacing w:after="120" w:lineRule="auto"/>
      <w:jc w:val="right"/>
      <w:rPr/>
    </w:pP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PRD v</w:t>
    </w:r>
    <w:r w:rsidDel="00000000" w:rsidR="00000000" w:rsidRPr="00000000">
      <w:rPr>
        <w:color w:val="555555"/>
        <w:sz w:val="16"/>
        <w:szCs w:val="16"/>
        <w:rtl w:val="0"/>
      </w:rPr>
      <w:t xml:space="preserve">1</w:t>
    </w:r>
    <w:r w:rsidDel="00000000" w:rsidR="00000000" w:rsidRPr="00000000">
      <w:rPr>
        <w:rFonts w:ascii="Arial" w:cs="Arial" w:eastAsia="Arial" w:hAnsi="Arial"/>
        <w:color w:val="555555"/>
        <w:sz w:val="16"/>
        <w:szCs w:val="16"/>
        <w:rtl w:val="0"/>
      </w:rPr>
      <w:t xml:space="preserve">.0 — Nova Plataforma Digital IOC/Fiocruz  ·  Março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1NeduyqEmA/WStecXQvDzqh/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QU5lNzBzcGt4S1dwdHN3N1R6b1ppbktIZkVOTjlfa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2026-03-17T18:13:01.940Z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