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before="0" w:lineRule="auto"/>
        <w:rPr>
          <w:vertAlign w:val="baseline"/>
        </w:rPr>
      </w:pPr>
      <w:bookmarkStart w:colFirst="0" w:colLast="0" w:name="_p4xc7t1c4sgu" w:id="0"/>
      <w:bookmarkEnd w:id="0"/>
      <w:r w:rsidDel="00000000" w:rsidR="00000000" w:rsidRPr="00000000">
        <w:rPr>
          <w:rtl w:val="0"/>
        </w:rPr>
        <w:t xml:space="preserve">Front</w:t>
      </w:r>
      <w:r w:rsidDel="00000000" w:rsidR="00000000" w:rsidRPr="00000000">
        <w:rPr>
          <w:vertAlign w:val="baseline"/>
          <w:rtl w:val="0"/>
        </w:rPr>
        <w:t xml:space="preserve">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vertAlign w:val="baseline"/>
          <w:rtl w:val="0"/>
        </w:rPr>
        <w:t xml:space="preserve">Interaction Design Paper Kubernetes Collaboration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Itamar Oren-Naftalovich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Site Layout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1522806"/>
            <wp:effectExtent b="0" l="0" r="0" t="0"/>
            <wp:docPr descr="alt text" id="8" name="image20.png"/>
            <a:graphic>
              <a:graphicData uri="http://schemas.openxmlformats.org/drawingml/2006/picture">
                <pic:pic>
                  <pic:nvPicPr>
                    <pic:cNvPr descr="alt text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2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The prototype is of a dark-themed header with the title and author on the left, a horizontal tab bar that switches between five main views (Home, Layout, Network Centrality, Ladder Flow, Regional Diversity), and a “Home” grid of cards linking to each data view.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r155k7skgpny" w:id="1"/>
    <w:bookmarkEnd w:id="1"/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PART 1</w:t>
      </w:r>
    </w:p>
    <w:bookmarkStart w:colFirst="0" w:colLast="0" w:name="oui3qxw0sdqp" w:id="2"/>
    <w:bookmarkEnd w:id="2"/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  <w:t xml:space="preserve">Data Relationship #1: Contributor-Ladder Progression Flow</w:t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Description: Tracks counts of contributors as they move from their first pull request through role stages up to maintainer status over time.</w:t>
      </w:r>
    </w:p>
    <w:bookmarkStart w:colFirst="0" w:colLast="0" w:name="9hxvunpdiote" w:id="3"/>
    <w:bookmarkEnd w:id="3"/>
    <w:p w:rsidR="00000000" w:rsidDel="00000000" w:rsidP="00000000" w:rsidRDefault="00000000" w:rsidRPr="00000000" w14:paraId="0000000B">
      <w:pPr>
        <w:pStyle w:val="Heading4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Chart A – Stacked Area (Cohort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82240"/>
            <wp:effectExtent b="0" l="0" r="0" t="0"/>
            <wp:docPr descr="alt text" id="10" name="image16.png"/>
            <a:graphic>
              <a:graphicData uri="http://schemas.openxmlformats.org/drawingml/2006/picture">
                <pic:pic>
                  <pic:nvPicPr>
                    <pic:cNvPr descr="alt text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567940"/>
            <wp:effectExtent b="0" l="0" r="0" t="0"/>
            <wp:docPr descr="alt text" id="9" name="image19.png"/>
            <a:graphic>
              <a:graphicData uri="http://schemas.openxmlformats.org/drawingml/2006/picture">
                <pic:pic>
                  <pic:nvPicPr>
                    <pic:cNvPr descr="alt text"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gtg6jwmrhg" w:id="4"/>
    <w:bookmarkEnd w:id="4"/>
    <w:p w:rsidR="00000000" w:rsidDel="00000000" w:rsidP="00000000" w:rsidRDefault="00000000" w:rsidRPr="00000000" w14:paraId="0000000E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B – Line / Slope Chart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720340"/>
            <wp:effectExtent b="0" l="0" r="0" t="0"/>
            <wp:docPr descr="alt text" id="12" name="image2.png"/>
            <a:graphic>
              <a:graphicData uri="http://schemas.openxmlformats.org/drawingml/2006/picture">
                <pic:pic>
                  <pic:nvPicPr>
                    <pic:cNvPr descr="alt text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21280"/>
            <wp:effectExtent b="0" l="0" r="0" t="0"/>
            <wp:docPr descr="alt text" id="11" name="image1.png"/>
            <a:graphic>
              <a:graphicData uri="http://schemas.openxmlformats.org/drawingml/2006/picture">
                <pic:pic>
                  <pic:nvPicPr>
                    <pic:cNvPr descr="alt text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yeryb8jk0ayr" w:id="5"/>
    <w:bookmarkEnd w:id="5"/>
    <w:p w:rsidR="00000000" w:rsidDel="00000000" w:rsidP="00000000" w:rsidRDefault="00000000" w:rsidRPr="00000000" w14:paraId="00000011">
      <w:pPr>
        <w:pStyle w:val="Heading4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Discussion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Chart A</w:t>
      </w:r>
    </w:p>
    <w:p w:rsidR="00000000" w:rsidDel="00000000" w:rsidP="00000000" w:rsidRDefault="00000000" w:rsidRPr="00000000" w14:paraId="00000013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brush or hover to isolate a cohort, and clicking a stage highlights contributors currently at that rung</w:t>
      </w:r>
    </w:p>
    <w:p w:rsidR="00000000" w:rsidDel="00000000" w:rsidP="00000000" w:rsidRDefault="00000000" w:rsidRPr="00000000" w14:paraId="00000014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shows overall retention and growth visually, and gives a measure of volume across stages</w:t>
      </w:r>
    </w:p>
    <w:p w:rsidR="00000000" w:rsidDel="00000000" w:rsidP="00000000" w:rsidRDefault="00000000" w:rsidRPr="00000000" w14:paraId="00000015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exact quantities for small cohorts are hard to read, and color stacking can obscure minor flows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Chart B</w:t>
      </w:r>
    </w:p>
    <w:p w:rsidR="00000000" w:rsidDel="00000000" w:rsidP="00000000" w:rsidRDefault="00000000" w:rsidRPr="00000000" w14:paraId="00000017">
      <w:pPr>
        <w:numPr>
          <w:ilvl w:val="1"/>
          <w:numId w:val="17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hover shows exact counts per ladder stage, and the legend toggles to show/hide lines</w:t>
      </w:r>
    </w:p>
    <w:p w:rsidR="00000000" w:rsidDel="00000000" w:rsidP="00000000" w:rsidRDefault="00000000" w:rsidRPr="00000000" w14:paraId="00000018">
      <w:pPr>
        <w:numPr>
          <w:ilvl w:val="1"/>
          <w:numId w:val="17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precise and uncluttered view of trends for each stage</w:t>
      </w:r>
    </w:p>
    <w:p w:rsidR="00000000" w:rsidDel="00000000" w:rsidP="00000000" w:rsidRDefault="00000000" w:rsidRPr="00000000" w14:paraId="00000019">
      <w:pPr>
        <w:numPr>
          <w:ilvl w:val="1"/>
          <w:numId w:val="17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does not communicate inter-stage flow (at all), users need to mentally map the transitions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Best Choice: Chart A has the strongest storytelling of progression because the stacked area makes retention and drop-off visually immediate.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xizun423fqi" w:id="6"/>
    <w:bookmarkEnd w:id="6"/>
    <w:p w:rsidR="00000000" w:rsidDel="00000000" w:rsidP="00000000" w:rsidRDefault="00000000" w:rsidRPr="00000000" w14:paraId="0000001C">
      <w:pPr>
        <w:pStyle w:val="Heading3"/>
        <w:rPr/>
      </w:pPr>
      <w:r w:rsidDel="00000000" w:rsidR="00000000" w:rsidRPr="00000000">
        <w:rPr>
          <w:rtl w:val="0"/>
        </w:rPr>
        <w:t xml:space="preserve">Data Relationship #2: Network Centrality vs. Role Rank</w:t>
      </w:r>
    </w:p>
    <w:p w:rsidR="00000000" w:rsidDel="00000000" w:rsidP="00000000" w:rsidRDefault="00000000" w:rsidRPr="00000000" w14:paraId="0000001D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Description: Compares node-degree and betweenness centrality scores against contributor role hierarchy.</w:t>
      </w:r>
    </w:p>
    <w:bookmarkStart w:colFirst="0" w:colLast="0" w:name="jxwtmhlmgr1b" w:id="7"/>
    <w:bookmarkEnd w:id="7"/>
    <w:p w:rsidR="00000000" w:rsidDel="00000000" w:rsidP="00000000" w:rsidRDefault="00000000" w:rsidRPr="00000000" w14:paraId="0000001E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A – Scatter Plot</w:t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Pre-interaction: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212105</wp:posOffset>
            </wp:positionV>
            <wp:extent cx="4662488" cy="5220745"/>
            <wp:effectExtent b="0" l="0" r="0" t="0"/>
            <wp:wrapTopAndBottom distB="0" distT="0"/>
            <wp:docPr descr="alt text" id="6" name="image4.png"/>
            <a:graphic>
              <a:graphicData uri="http://schemas.openxmlformats.org/drawingml/2006/picture">
                <pic:pic>
                  <pic:nvPicPr>
                    <pic:cNvPr descr="alt text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5220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Post-interaction: </w:t>
      </w:r>
      <w:r w:rsidDel="00000000" w:rsidR="00000000" w:rsidRPr="00000000">
        <w:rPr/>
        <w:drawing>
          <wp:inline distB="0" distT="0" distL="114300" distR="114300">
            <wp:extent cx="5334000" cy="5672996"/>
            <wp:effectExtent b="0" l="0" r="0" t="0"/>
            <wp:docPr descr="alt text" id="13" name="image18.png"/>
            <a:graphic>
              <a:graphicData uri="http://schemas.openxmlformats.org/drawingml/2006/picture">
                <pic:pic>
                  <pic:nvPicPr>
                    <pic:cNvPr descr="alt text"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72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7azgympaeoux" w:id="8"/>
    <w:bookmarkEnd w:id="8"/>
    <w:p w:rsidR="00000000" w:rsidDel="00000000" w:rsidP="00000000" w:rsidRDefault="00000000" w:rsidRPr="00000000" w14:paraId="00000021">
      <w:pPr>
        <w:pStyle w:val="Heading4"/>
        <w:numPr>
          <w:ilvl w:val="0"/>
          <w:numId w:val="2"/>
        </w:numPr>
        <w:ind w:left="720" w:hanging="48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A2 – Scatter Plot - Part II</w:t>
      </w:r>
    </w:p>
    <w:p w:rsidR="00000000" w:rsidDel="00000000" w:rsidP="00000000" w:rsidRDefault="00000000" w:rsidRPr="00000000" w14:paraId="00000022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Pre-interaction: </w:t>
      </w:r>
      <w:r w:rsidDel="00000000" w:rsidR="00000000" w:rsidRPr="00000000">
        <w:rPr/>
        <w:drawing>
          <wp:inline distB="0" distT="0" distL="114300" distR="114300">
            <wp:extent cx="5334000" cy="5189012"/>
            <wp:effectExtent b="0" l="0" r="0" t="0"/>
            <wp:docPr descr="alt text" id="15" name="image10.png"/>
            <a:graphic>
              <a:graphicData uri="http://schemas.openxmlformats.org/drawingml/2006/picture">
                <pic:pic>
                  <pic:nvPicPr>
                    <pic:cNvPr descr="alt text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8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8"/>
        </w:numPr>
        <w:ind w:left="720" w:hanging="480"/>
        <w:rPr/>
      </w:pPr>
      <w:r w:rsidDel="00000000" w:rsidR="00000000" w:rsidRPr="00000000">
        <w:rPr>
          <w:rtl w:val="0"/>
        </w:rPr>
        <w:t xml:space="preserve">Post-interaction: </w:t>
      </w:r>
      <w:r w:rsidDel="00000000" w:rsidR="00000000" w:rsidRPr="00000000">
        <w:rPr/>
        <w:drawing>
          <wp:inline distB="0" distT="0" distL="114300" distR="114300">
            <wp:extent cx="5334000" cy="5233212"/>
            <wp:effectExtent b="0" l="0" r="0" t="0"/>
            <wp:docPr descr="alt text" id="14" name="image14.png"/>
            <a:graphic>
              <a:graphicData uri="http://schemas.openxmlformats.org/drawingml/2006/picture">
                <pic:pic>
                  <pic:nvPicPr>
                    <pic:cNvPr descr="alt text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3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drl7wr2r6a" w:id="9"/>
    <w:bookmarkEnd w:id="9"/>
    <w:p w:rsidR="00000000" w:rsidDel="00000000" w:rsidP="00000000" w:rsidRDefault="00000000" w:rsidRPr="00000000" w14:paraId="00000024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B – Centrality Scores Bar Chart</w:t>
      </w:r>
    </w:p>
    <w:p w:rsidR="00000000" w:rsidDel="00000000" w:rsidP="00000000" w:rsidRDefault="00000000" w:rsidRPr="00000000" w14:paraId="00000025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1045940"/>
            <wp:effectExtent b="0" l="0" r="0" t="0"/>
            <wp:docPr descr="alt text" id="18" name="image15.png"/>
            <a:graphic>
              <a:graphicData uri="http://schemas.openxmlformats.org/drawingml/2006/picture">
                <pic:pic>
                  <pic:nvPicPr>
                    <pic:cNvPr descr="alt text"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4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1045940"/>
            <wp:effectExtent b="0" l="0" r="0" t="0"/>
            <wp:docPr descr="alt text" id="16" name="image7.png"/>
            <a:graphic>
              <a:graphicData uri="http://schemas.openxmlformats.org/drawingml/2006/picture">
                <pic:pic>
                  <pic:nvPicPr>
                    <pic:cNvPr descr="alt text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4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hajrt8cr66i" w:id="10"/>
    <w:bookmarkEnd w:id="10"/>
    <w:p w:rsidR="00000000" w:rsidDel="00000000" w:rsidP="00000000" w:rsidRDefault="00000000" w:rsidRPr="00000000" w14:paraId="00000027">
      <w:pPr>
        <w:pStyle w:val="Heading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Discussion 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Chart A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hover to show contributor details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highlights outliers and overlap between roles, and spatial distribution is intuitive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dense clusters can overlap, and might require color saturation for clarity (see chart A2 for fix)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Chart A2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same as A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clearer than A since nodes will not overlap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too many nodes will still be hard to read if the screen is too small. Also too many connections will make this illegable</w:t>
      </w:r>
    </w:p>
    <w:p w:rsidR="00000000" w:rsidDel="00000000" w:rsidP="00000000" w:rsidRDefault="00000000" w:rsidRPr="00000000" w14:paraId="00000030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Chart B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click a bar to higlight to individual contributors within that score bucket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compact rank-ordered view, and easy aggregate comparison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aggregation hides role-specific variance, and shows less engaging than spatial scatter</w:t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Best Choice: Chart A2 preserves individual granularity and visually surfaces outliers critical to governance decisions. While I do like A1 more, putting it on a paper is…difficult.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rvoke3hpwbx" w:id="11"/>
    <w:bookmarkEnd w:id="11"/>
    <w:p w:rsidR="00000000" w:rsidDel="00000000" w:rsidP="00000000" w:rsidRDefault="00000000" w:rsidRPr="00000000" w14:paraId="00000036">
      <w:pPr>
        <w:pStyle w:val="Heading3"/>
        <w:rPr/>
      </w:pPr>
      <w:r w:rsidDel="00000000" w:rsidR="00000000" w:rsidRPr="00000000">
        <w:rPr>
          <w:rtl w:val="0"/>
        </w:rPr>
        <w:t xml:space="preserve">Data Relationship #3: Geographic Diversity Over Time</w:t>
      </w:r>
    </w:p>
    <w:p w:rsidR="00000000" w:rsidDel="00000000" w:rsidP="00000000" w:rsidRDefault="00000000" w:rsidRPr="00000000" w14:paraId="0000003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Description: Shows counts of contributors per region across yearly intervals.</w:t>
      </w:r>
    </w:p>
    <w:bookmarkStart w:colFirst="0" w:colLast="0" w:name="z2kac7rhjofd" w:id="12"/>
    <w:bookmarkEnd w:id="12"/>
    <w:p w:rsidR="00000000" w:rsidDel="00000000" w:rsidP="00000000" w:rsidRDefault="00000000" w:rsidRPr="00000000" w14:paraId="00000038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A – Stacked Area by Region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74620"/>
            <wp:effectExtent b="0" l="0" r="0" t="0"/>
            <wp:docPr descr="alt text" id="17" name="image11.png"/>
            <a:graphic>
              <a:graphicData uri="http://schemas.openxmlformats.org/drawingml/2006/picture">
                <pic:pic>
                  <pic:nvPicPr>
                    <pic:cNvPr descr="alt text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7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51760"/>
            <wp:effectExtent b="0" l="0" r="0" t="0"/>
            <wp:docPr descr="alt text" id="19" name="image5.png"/>
            <a:graphic>
              <a:graphicData uri="http://schemas.openxmlformats.org/drawingml/2006/picture">
                <pic:pic>
                  <pic:nvPicPr>
                    <pic:cNvPr descr="alt text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pmcs9a9jqcdt" w:id="13"/>
    <w:bookmarkEnd w:id="13"/>
    <w:p w:rsidR="00000000" w:rsidDel="00000000" w:rsidP="00000000" w:rsidRDefault="00000000" w:rsidRPr="00000000" w14:paraId="0000003B">
      <w:pPr>
        <w:pStyle w:val="Heading4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Chart B – Stacked Bars Snapshot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Pre-interaction: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67000"/>
            <wp:effectExtent b="0" l="0" r="0" t="0"/>
            <wp:docPr descr="alt text" id="20" name="image6.png"/>
            <a:graphic>
              <a:graphicData uri="http://schemas.openxmlformats.org/drawingml/2006/picture">
                <pic:pic>
                  <pic:nvPicPr>
                    <pic:cNvPr descr="alt text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Post-interaction: </w:t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5334000" cy="2659380"/>
            <wp:effectExtent b="0" l="0" r="0" t="0"/>
            <wp:docPr descr="alt text" id="21" name="image17.png"/>
            <a:graphic>
              <a:graphicData uri="http://schemas.openxmlformats.org/drawingml/2006/picture">
                <pic:pic>
                  <pic:nvPicPr>
                    <pic:cNvPr descr="alt text"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5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20dx92ncbfq" w:id="14"/>
    <w:bookmarkEnd w:id="14"/>
    <w:p w:rsidR="00000000" w:rsidDel="00000000" w:rsidP="00000000" w:rsidRDefault="00000000" w:rsidRPr="00000000" w14:paraId="0000003E">
      <w:pPr>
        <w:pStyle w:val="Heading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Discussion 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Chart A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hover slice to show absolute and % share, and toggle continents on/off</w:t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demonstrates overall growth and proportional shifts clearly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harder to compare small regions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Chart B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Interaction: click a year to show tooltip with actual number of contributors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Strengths: straightforward year-over-year comparison and discrete bars help with exact reading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ind w:left="1440" w:hanging="480"/>
        <w:rPr/>
      </w:pPr>
      <w:r w:rsidDel="00000000" w:rsidR="00000000" w:rsidRPr="00000000">
        <w:rPr>
          <w:vertAlign w:val="baseline"/>
          <w:rtl w:val="0"/>
        </w:rPr>
        <w:t xml:space="preserve">Weaknesses: trend perception is fragmented across many years, visual noise with too many bars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Best Choice: Chart A provides a continuous view ideal for spotting long-term regional trends.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1y5rlbgw3qyh" w:id="15"/>
    <w:bookmarkEnd w:id="15"/>
    <w:p w:rsidR="00000000" w:rsidDel="00000000" w:rsidP="00000000" w:rsidRDefault="00000000" w:rsidRPr="00000000" w14:paraId="00000049">
      <w:pPr>
        <w:pStyle w:val="Heading2"/>
        <w:rPr/>
      </w:pPr>
      <w:r w:rsidDel="00000000" w:rsidR="00000000" w:rsidRPr="00000000">
        <w:rPr>
          <w:rtl w:val="0"/>
        </w:rPr>
        <w:t xml:space="preserve">PART 2</w:t>
      </w:r>
    </w:p>
    <w:bookmarkStart w:colFirst="0" w:colLast="0" w:name="jjc34l15pzag" w:id="16"/>
    <w:bookmarkEnd w:id="16"/>
    <w:p w:rsidR="00000000" w:rsidDel="00000000" w:rsidP="00000000" w:rsidRDefault="00000000" w:rsidRPr="00000000" w14:paraId="0000004A">
      <w:pPr>
        <w:pStyle w:val="Heading3"/>
        <w:rPr/>
      </w:pPr>
      <w:r w:rsidDel="00000000" w:rsidR="00000000" w:rsidRPr="00000000">
        <w:rPr>
          <w:rtl w:val="0"/>
        </w:rPr>
        <w:t xml:space="preserve">Task Analysis</w:t>
      </w:r>
    </w:p>
    <w:p w:rsidR="00000000" w:rsidDel="00000000" w:rsidP="00000000" w:rsidRDefault="00000000" w:rsidRPr="00000000" w14:paraId="0000004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Primary persona workflows: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Maintainer Dashboard: triage hotspot files, identify overloaded reviewers, review open KEPs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Contributor On-Ramp: discover good-first-issues, connect with mentors, monitor PR queue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End-User Incident View: map open bugs to releases, assess lead-time to patch incidents </w:t>
      </w:r>
    </w:p>
    <w:bookmarkStart w:colFirst="0" w:colLast="0" w:name="sgxvkqbwya4f" w:id="17"/>
    <w:bookmarkEnd w:id="17"/>
    <w:p w:rsidR="00000000" w:rsidDel="00000000" w:rsidP="00000000" w:rsidRDefault="00000000" w:rsidRPr="00000000" w14:paraId="0000004F">
      <w:pPr>
        <w:pStyle w:val="Heading3"/>
        <w:rPr/>
      </w:pPr>
      <w:r w:rsidDel="00000000" w:rsidR="00000000" w:rsidRPr="00000000">
        <w:rPr>
          <w:rtl w:val="0"/>
        </w:rPr>
        <w:t xml:space="preserve">DIAGRAM of the Organization of the Interactive Program</w:t>
      </w:r>
    </w:p>
    <w:p w:rsidR="00000000" w:rsidDel="00000000" w:rsidP="00000000" w:rsidRDefault="00000000" w:rsidRPr="00000000" w14:paraId="00000050">
      <w:pPr>
        <w:rPr>
          <w:vertAlign w:val="baseline"/>
        </w:rPr>
      </w:pPr>
      <w:commentRangeStart w:id="0"/>
      <w:r w:rsidDel="00000000" w:rsidR="00000000" w:rsidRPr="00000000">
        <w:rPr/>
        <w:drawing>
          <wp:inline distB="114300" distT="114300" distL="114300" distR="114300">
            <wp:extent cx="7858125" cy="111918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8125" cy="111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bookmarkStart w:colFirst="0" w:colLast="0" w:name="z3go57x7fr86" w:id="18"/>
    <w:bookmarkEnd w:id="18"/>
    <w:p w:rsidR="00000000" w:rsidDel="00000000" w:rsidP="00000000" w:rsidRDefault="00000000" w:rsidRPr="00000000" w14:paraId="00000051">
      <w:pPr>
        <w:pStyle w:val="Heading3"/>
        <w:rPr/>
      </w:pPr>
      <w:r w:rsidDel="00000000" w:rsidR="00000000" w:rsidRPr="00000000">
        <w:rPr>
          <w:rtl w:val="0"/>
        </w:rPr>
        <w:t xml:space="preserve">Performance Objectives &amp; Content Outline</w:t>
      </w:r>
    </w:p>
    <w:tbl>
      <w:tblPr>
        <w:tblStyle w:val="Table1"/>
        <w:tblW w:w="9645.0" w:type="dxa"/>
        <w:jc w:val="left"/>
        <w:tblInd w:w="-108.0" w:type="dxa"/>
        <w:tblLayout w:type="fixed"/>
        <w:tblLook w:val="0020"/>
      </w:tblPr>
      <w:tblGrid>
        <w:gridCol w:w="1770"/>
        <w:gridCol w:w="2730"/>
        <w:gridCol w:w="1590"/>
        <w:gridCol w:w="1755"/>
        <w:gridCol w:w="1800"/>
        <w:tblGridChange w:id="0">
          <w:tblGrid>
            <w:gridCol w:w="1770"/>
            <w:gridCol w:w="2730"/>
            <w:gridCol w:w="1590"/>
            <w:gridCol w:w="1755"/>
            <w:gridCol w:w="180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2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3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Performance Objectives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4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Content Outline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5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Charts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6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Filters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7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Home (Overview)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8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orient users to the dashboard’s purpose; provide entry points to each analysis view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9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header, intro paragraph, three clickable cards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A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B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C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Layout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D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reveal site navigation structure and user journeys; clarify page interconnections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E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site-map diagram, legend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F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static mermaid diagram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0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1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Network Centrality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2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surface key influencers in the contributor graph; enable exploration of individual and aggregate centrality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3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force-directed network, ranked-bar chart, descriptive caption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4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network graph, bar chart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5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toggle layout 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6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Ladder Flow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7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reveal contributor retention and progression through ladder stages; enable cohort selection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8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stacked-area cohort flow, multi-line stage trends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9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stacked area, line chart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A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cohort year, ladder stage filter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B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Regional Diversity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C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highlight geographic expansion of the community; compare regional contributions over 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D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grouped bar by year, stacked-area timeline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E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grouped bar, stacked area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6F">
            <w:pPr>
              <w:spacing w:after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region toggle, time slider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38b6c7fzhim2" w:id="19"/>
    <w:bookmarkEnd w:id="19"/>
    <w:p w:rsidR="00000000" w:rsidDel="00000000" w:rsidP="00000000" w:rsidRDefault="00000000" w:rsidRPr="00000000" w14:paraId="00000071">
      <w:pPr>
        <w:pStyle w:val="Heading2"/>
        <w:rPr/>
      </w:pPr>
      <w:r w:rsidDel="00000000" w:rsidR="00000000" w:rsidRPr="00000000">
        <w:rPr>
          <w:rtl w:val="0"/>
        </w:rPr>
        <w:t xml:space="preserve">PART 3</w:t>
      </w:r>
    </w:p>
    <w:bookmarkStart w:colFirst="0" w:colLast="0" w:name="j09fwo4bubtp" w:id="20"/>
    <w:bookmarkEnd w:id="20"/>
    <w:p w:rsidR="00000000" w:rsidDel="00000000" w:rsidP="00000000" w:rsidRDefault="00000000" w:rsidRPr="00000000" w14:paraId="00000072">
      <w:pPr>
        <w:pStyle w:val="Heading3"/>
        <w:rPr/>
      </w:pPr>
      <w:r w:rsidDel="00000000" w:rsidR="00000000" w:rsidRPr="00000000">
        <w:rPr>
          <w:rtl w:val="0"/>
        </w:rPr>
        <w:t xml:space="preserve">SCREEN DESIGNS (Storyboard)</w:t>
      </w:r>
    </w:p>
    <w:bookmarkStart w:colFirst="0" w:colLast="0" w:name="i7q6ob7andrg" w:id="21"/>
    <w:bookmarkEnd w:id="21"/>
    <w:p w:rsidR="00000000" w:rsidDel="00000000" w:rsidP="00000000" w:rsidRDefault="00000000" w:rsidRPr="00000000" w14:paraId="00000073">
      <w:pPr>
        <w:pStyle w:val="Heading4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Opening Screen</w:t>
      </w:r>
    </w:p>
    <w:p w:rsidR="00000000" w:rsidDel="00000000" w:rsidP="00000000" w:rsidRDefault="00000000" w:rsidRPr="00000000" w14:paraId="00000074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602579" cy="1886451"/>
            <wp:effectExtent b="0" l="0" r="0" t="0"/>
            <wp:docPr descr="alt text" id="22" name="image20.png"/>
            <a:graphic>
              <a:graphicData uri="http://schemas.openxmlformats.org/drawingml/2006/picture">
                <pic:pic>
                  <pic:nvPicPr>
                    <pic:cNvPr descr="alt text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2579" cy="1886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Performance Objectives: welcome and guide users to core analyses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Text: “Kubernetes Collaboration Dashboard”</w:t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Graphics &amp; Design: high-contrast, color-blind–safe palette, and animations on the cards to indicate you can click on them</w:t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ind w:left="720" w:hanging="480"/>
        <w:rPr/>
      </w:pPr>
      <w:r w:rsidDel="00000000" w:rsidR="00000000" w:rsidRPr="00000000">
        <w:rPr>
          <w:vertAlign w:val="baseline"/>
          <w:rtl w:val="0"/>
        </w:rPr>
        <w:t xml:space="preserve">Interaction &amp; Navigation: clicking a card or tab button routes to the relevant view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  <w:t xml:space="preserve">Below is a filled-in “Final Section” you can paste into your markdown file.</w:t>
        <w:br w:type="textWrapping"/>
        <w:t xml:space="preserve">I kept to one clearly labeled best chart for each pair in your dashboard and answered every prompt.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r3jqrcg0y59n" w:id="22"/>
      <w:bookmarkEnd w:id="22"/>
      <w:r w:rsidDel="00000000" w:rsidR="00000000" w:rsidRPr="00000000">
        <w:rPr>
          <w:rtl w:val="0"/>
        </w:rPr>
        <w:t xml:space="preserve">Network Centrality  —  Best image: force-directed network graph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114300" distR="114300">
            <wp:extent cx="5334000" cy="5233212"/>
            <wp:effectExtent b="0" l="0" r="0" t="0"/>
            <wp:docPr descr="alt text" id="2" name="image14.png"/>
            <a:graphic>
              <a:graphicData uri="http://schemas.openxmlformats.org/drawingml/2006/picture">
                <pic:pic>
                  <pic:nvPicPr>
                    <pic:cNvPr descr="alt text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3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cdbnjy699d0c" w:id="23"/>
      <w:bookmarkEnd w:id="23"/>
      <w:r w:rsidDel="00000000" w:rsidR="00000000" w:rsidRPr="00000000">
        <w:rPr>
          <w:rtl w:val="0"/>
        </w:rPr>
        <w:t xml:space="preserve">Data Charts</w:t>
      </w:r>
    </w:p>
    <w:p w:rsidR="00000000" w:rsidDel="00000000" w:rsidP="00000000" w:rsidRDefault="00000000" w:rsidRPr="00000000" w14:paraId="0000008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What is the data relationship?</w:t>
      </w:r>
      <w:r w:rsidDel="00000000" w:rsidR="00000000" w:rsidRPr="00000000">
        <w:rPr>
          <w:rtl w:val="0"/>
        </w:rPr>
        <w:br w:type="textWrapping"/>
        <w:t xml:space="preserve">Each node is a contributor; links represent joint commits or PR reviews.</w:t>
        <w:br w:type="textWrapping"/>
        <w:t xml:space="preserve"> Node size encodes eigenvector centrality (influence), while link thickness encodes frequency of collaboration.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Why is this type of chart a good choice?</w:t>
      </w:r>
      <w:r w:rsidDel="00000000" w:rsidR="00000000" w:rsidRPr="00000000">
        <w:rPr>
          <w:rtl w:val="0"/>
        </w:rPr>
        <w:br w:type="textWrapping"/>
        <w:t xml:space="preserve"> A force-directed network reveals both global clusters and local hubs in one view, something a bar chart cannot do. Viewers immediately see who connects otherwise distant clusters and where collaboration bottlenecks lie.</w:t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hexdz3rgl076" w:id="24"/>
      <w:bookmarkEnd w:id="24"/>
      <w:r w:rsidDel="00000000" w:rsidR="00000000" w:rsidRPr="00000000">
        <w:rPr>
          <w:rtl w:val="0"/>
        </w:rPr>
        <w:t xml:space="preserve">Other Interaction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  <w:t xml:space="preserve">Hover over any node ⇒ a tooltip shows name, role, centrality score, total collaborations.</w:t>
        <w:br w:type="textWrapping"/>
        <w:t xml:space="preserve"> Click a node ⇒ fades unrelated links and pins the node so the user can focus on its ego-network.</w:t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y69lzuo4jkrw" w:id="25"/>
      <w:bookmarkEnd w:id="25"/>
      <w:r w:rsidDel="00000000" w:rsidR="00000000" w:rsidRPr="00000000">
        <w:rPr>
          <w:rtl w:val="0"/>
        </w:rPr>
        <w:t xml:space="preserve">Color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  <w:t xml:space="preserve">Neon-blue‐to-purple nodes (#0ea5e9 → #6366f1) stand out against the background (#0f172a) and match the overall Kubernetes palette, but it still has enough contrast for color-blind users (tested with CVD simulators).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="360" w:lineRule="auto"/>
        <w:rPr/>
      </w:pPr>
      <w:r w:rsidDel="00000000" w:rsidR="00000000" w:rsidRPr="00000000">
        <w:rPr>
          <w:rtl w:val="0"/>
        </w:rPr>
        <w:t xml:space="preserve">Below is an updated </w:t>
      </w:r>
      <w:r w:rsidDel="00000000" w:rsidR="00000000" w:rsidRPr="00000000">
        <w:rPr>
          <w:b w:val="1"/>
          <w:rtl w:val="0"/>
        </w:rPr>
        <w:t xml:space="preserve">“Ladder Flow”</w:t>
      </w:r>
      <w:r w:rsidDel="00000000" w:rsidR="00000000" w:rsidRPr="00000000">
        <w:rPr>
          <w:rtl w:val="0"/>
        </w:rPr>
        <w:t xml:space="preserve"> section that assumes you are switching from a stacked-area view to the clearer multi-series </w:t>
      </w:r>
      <w:r w:rsidDel="00000000" w:rsidR="00000000" w:rsidRPr="00000000">
        <w:rPr>
          <w:b w:val="1"/>
          <w:rtl w:val="0"/>
        </w:rPr>
        <w:t xml:space="preserve">line chart</w:t>
      </w:r>
      <w:r w:rsidDel="00000000" w:rsidR="00000000" w:rsidRPr="00000000">
        <w:rPr>
          <w:rtl w:val="0"/>
        </w:rPr>
        <w:t xml:space="preserve"> you just showed.</w:t>
        <w:br w:type="textWrapping"/>
        <w:t xml:space="preserve"> Simply paste it over the old section in your markdown file.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rPr/>
      </w:pPr>
      <w:bookmarkStart w:colFirst="0" w:colLast="0" w:name="_9v96dmyv69ge" w:id="26"/>
      <w:bookmarkEnd w:id="26"/>
      <w:r w:rsidDel="00000000" w:rsidR="00000000" w:rsidRPr="00000000">
        <w:rPr>
          <w:rtl w:val="0"/>
        </w:rPr>
        <w:t xml:space="preserve">Ladder Flow — </w:t>
      </w:r>
      <w:r w:rsidDel="00000000" w:rsidR="00000000" w:rsidRPr="00000000">
        <w:rPr>
          <w:rtl w:val="0"/>
        </w:rPr>
        <w:t xml:space="preserve">Best image: multi-series line chart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pre-interaction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post-interaction (hover on </w:t>
      </w:r>
      <w:r w:rsidDel="00000000" w:rsidR="00000000" w:rsidRPr="00000000">
        <w:rPr>
          <w:b w:val="1"/>
          <w:i w:val="1"/>
          <w:rtl w:val="0"/>
        </w:rPr>
        <w:t xml:space="preserve">rising</w:t>
      </w:r>
      <w:r w:rsidDel="00000000" w:rsidR="00000000" w:rsidRPr="00000000">
        <w:rPr>
          <w:b w:val="1"/>
          <w:rtl w:val="0"/>
        </w:rPr>
        <w:t xml:space="preserve">, Year 4)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h6iv7v7zy3ys" w:id="27"/>
      <w:bookmarkEnd w:id="27"/>
      <w:r w:rsidDel="00000000" w:rsidR="00000000" w:rsidRPr="00000000">
        <w:rPr>
          <w:rFonts w:ascii="Cambria" w:cs="Cambria" w:eastAsia="Cambria" w:hAnsi="Cambria"/>
          <w:rtl w:val="0"/>
        </w:rPr>
        <w:t xml:space="preserve">data charts</w:t>
      </w:r>
    </w:p>
    <w:p w:rsidR="00000000" w:rsidDel="00000000" w:rsidP="00000000" w:rsidRDefault="00000000" w:rsidRPr="00000000" w14:paraId="0000008D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rtl w:val="0"/>
        </w:rPr>
        <w:t xml:space="preserve">hat is the data relationship?</w:t>
        <w:br w:type="textWrapping"/>
      </w:r>
      <w:r w:rsidDel="00000000" w:rsidR="00000000" w:rsidRPr="00000000">
        <w:rPr>
          <w:rtl w:val="0"/>
        </w:rPr>
        <w:t xml:space="preserve"> Year-by-year counts of contributors in each ladder tier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outsider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rising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core</w:t>
      </w:r>
      <w:r w:rsidDel="00000000" w:rsidR="00000000" w:rsidRPr="00000000">
        <w:rPr>
          <w:rtl w:val="0"/>
        </w:rPr>
        <w:t xml:space="preserve">).</w:t>
        <w:br w:type="textWrapping"/>
        <w:t xml:space="preserve"> Each line shows one tier’s trajectory; the y-value is the contributor count.</w:t>
      </w:r>
    </w:p>
    <w:p w:rsidR="00000000" w:rsidDel="00000000" w:rsidP="00000000" w:rsidRDefault="00000000" w:rsidRPr="00000000" w14:paraId="0000008E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Why is this type of chart a good choice?</w:t>
        <w:br w:type="textWrapping"/>
      </w:r>
      <w:r w:rsidDel="00000000" w:rsidR="00000000" w:rsidRPr="00000000">
        <w:rPr>
          <w:rtl w:val="0"/>
        </w:rPr>
        <w:t xml:space="preserve"> Lines make </w:t>
      </w:r>
      <w:r w:rsidDel="00000000" w:rsidR="00000000" w:rsidRPr="00000000">
        <w:rPr>
          <w:b w:val="1"/>
          <w:rtl w:val="0"/>
        </w:rPr>
        <w:t xml:space="preserve">trends, slopes, and inflection points</w:t>
      </w:r>
      <w:r w:rsidDel="00000000" w:rsidR="00000000" w:rsidRPr="00000000">
        <w:rPr>
          <w:rtl w:val="0"/>
        </w:rPr>
        <w:t xml:space="preserve"> obvious and let viewers compare rates of growth or decline between tiers without the visual stacking that can mask changes. The area chart is also rather confusing after review.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e2z5gtwwoy0a" w:id="28"/>
      <w:bookmarkEnd w:id="28"/>
      <w:r w:rsidDel="00000000" w:rsidR="00000000" w:rsidRPr="00000000">
        <w:rPr>
          <w:rFonts w:ascii="Cambria" w:cs="Cambria" w:eastAsia="Cambria" w:hAnsi="Cambria"/>
          <w:rtl w:val="0"/>
        </w:rPr>
        <w:t xml:space="preserve">filters</w:t>
      </w:r>
    </w:p>
    <w:p w:rsidR="00000000" w:rsidDel="00000000" w:rsidP="00000000" w:rsidRDefault="00000000" w:rsidRPr="00000000" w14:paraId="00000090">
      <w:pPr>
        <w:numPr>
          <w:ilvl w:val="0"/>
          <w:numId w:val="23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year range selection</w:t>
      </w:r>
      <w:r w:rsidDel="00000000" w:rsidR="00000000" w:rsidRPr="00000000">
        <w:rPr>
          <w:rtl w:val="0"/>
        </w:rPr>
        <w:t xml:space="preserve"> – focus on any subset of the timeline.</w:t>
      </w:r>
    </w:p>
    <w:p w:rsidR="00000000" w:rsidDel="00000000" w:rsidP="00000000" w:rsidRDefault="00000000" w:rsidRPr="00000000" w14:paraId="00000091">
      <w:pPr>
        <w:numPr>
          <w:ilvl w:val="0"/>
          <w:numId w:val="23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contributor-type toggles (or legend clicks)</w:t>
      </w:r>
      <w:r w:rsidDel="00000000" w:rsidR="00000000" w:rsidRPr="00000000">
        <w:rPr>
          <w:rtl w:val="0"/>
        </w:rPr>
        <w:t xml:space="preserve"> – show/hide individual tiers for side-by-side or solo inspection.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69v5qrvo1puw" w:id="29"/>
      <w:bookmarkEnd w:id="29"/>
      <w:r w:rsidDel="00000000" w:rsidR="00000000" w:rsidRPr="00000000">
        <w:rPr>
          <w:rFonts w:ascii="Cambria" w:cs="Cambria" w:eastAsia="Cambria" w:hAnsi="Cambria"/>
          <w:rtl w:val="0"/>
        </w:rPr>
        <w:t xml:space="preserve">other interaction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hover</w:t>
      </w:r>
      <w:r w:rsidDel="00000000" w:rsidR="00000000" w:rsidRPr="00000000">
        <w:rPr>
          <w:rtl w:val="0"/>
        </w:rPr>
        <w:t xml:space="preserve"> a point → tooltip with </w:t>
      </w:r>
      <w:r w:rsidDel="00000000" w:rsidR="00000000" w:rsidRPr="00000000">
        <w:rPr>
          <w:i w:val="1"/>
          <w:rtl w:val="0"/>
        </w:rPr>
        <w:t xml:space="preserve">(year, count) tier</w:t>
      </w:r>
      <w:r w:rsidDel="00000000" w:rsidR="00000000" w:rsidRPr="00000000">
        <w:rPr>
          <w:rtl w:val="0"/>
        </w:rPr>
        <w:t xml:space="preserve"> (see post-interaction)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click</w:t>
      </w:r>
      <w:r w:rsidDel="00000000" w:rsidR="00000000" w:rsidRPr="00000000">
        <w:rPr>
          <w:rtl w:val="0"/>
        </w:rPr>
        <w:t xml:space="preserve"> a legend item → toggles that line, which allows the user to filter by tier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m1bli6bs5ebg" w:id="30"/>
      <w:bookmarkEnd w:id="30"/>
      <w:r w:rsidDel="00000000" w:rsidR="00000000" w:rsidRPr="00000000">
        <w:rPr>
          <w:rFonts w:ascii="Cambria" w:cs="Cambria" w:eastAsia="Cambria" w:hAnsi="Cambria"/>
          <w:rtl w:val="0"/>
        </w:rPr>
        <w:t xml:space="preserve">color</w:t>
      </w:r>
    </w:p>
    <w:p w:rsidR="00000000" w:rsidDel="00000000" w:rsidP="00000000" w:rsidRDefault="00000000" w:rsidRPr="00000000" w14:paraId="00000096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Blue (#60a5fa), orange (#facc15), and green (#34d399) form a balanced, color-blind-safe palette; the warm orange sits between two cool tones, keeping all three lines distinct against the dark background.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0" w:before="360" w:lineRule="auto"/>
        <w:rPr>
          <w:rFonts w:ascii="Cambria" w:cs="Cambria" w:eastAsia="Cambria" w:hAnsi="Cambria"/>
          <w:i w:val="1"/>
          <w:sz w:val="34"/>
          <w:szCs w:val="34"/>
        </w:rPr>
      </w:pPr>
      <w:bookmarkStart w:colFirst="0" w:colLast="0" w:name="_7c8ydzsywvx0" w:id="31"/>
      <w:bookmarkEnd w:id="31"/>
      <w:r w:rsidDel="00000000" w:rsidR="00000000" w:rsidRPr="00000000">
        <w:rPr>
          <w:rFonts w:ascii="Cambria" w:cs="Cambria" w:eastAsia="Cambria" w:hAnsi="Cambria"/>
          <w:sz w:val="34"/>
          <w:szCs w:val="34"/>
          <w:rtl w:val="0"/>
        </w:rPr>
        <w:t xml:space="preserve">Regional Diversity – Area </w:t>
      </w:r>
      <w:r w:rsidDel="00000000" w:rsidR="00000000" w:rsidRPr="00000000">
        <w:rPr>
          <w:rFonts w:ascii="Cambria" w:cs="Cambria" w:eastAsia="Cambria" w:hAnsi="Cambria"/>
          <w:i w:val="1"/>
          <w:sz w:val="34"/>
          <w:szCs w:val="34"/>
          <w:rtl w:val="0"/>
        </w:rPr>
        <w:t xml:space="preserve">Best image: multi-series line chart</w:t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0" w:before="360" w:lineRule="auto"/>
        <w:rPr/>
      </w:pPr>
      <w:bookmarkStart w:colFirst="0" w:colLast="0" w:name="_kfh0ca3t9hm2" w:id="32"/>
      <w:bookmarkEnd w:id="32"/>
      <w:r w:rsidDel="00000000" w:rsidR="00000000" w:rsidRPr="00000000">
        <w:rPr>
          <w:b w:val="1"/>
          <w:rtl w:val="0"/>
        </w:rPr>
        <w:t xml:space="preserve">pre-interaction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609600</wp:posOffset>
            </wp:positionV>
            <wp:extent cx="6348413" cy="310299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102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post-interaction (filter out na and hover on latam, Year 4)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5jsyo055sa0y" w:id="33"/>
      <w:bookmarkEnd w:id="33"/>
      <w:r w:rsidDel="00000000" w:rsidR="00000000" w:rsidRPr="00000000">
        <w:rPr>
          <w:rFonts w:ascii="Cambria" w:cs="Cambria" w:eastAsia="Cambria" w:hAnsi="Cambria"/>
          <w:rtl w:val="0"/>
        </w:rPr>
        <w:t xml:space="preserve">Data Charts</w:t>
      </w:r>
    </w:p>
    <w:p w:rsidR="00000000" w:rsidDel="00000000" w:rsidP="00000000" w:rsidRDefault="00000000" w:rsidRPr="00000000" w14:paraId="0000009C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rtl w:val="0"/>
        </w:rPr>
        <w:t xml:space="preserve">hat is the data relationship?</w:t>
        <w:br w:type="textWrapping"/>
      </w:r>
      <w:r w:rsidDel="00000000" w:rsidR="00000000" w:rsidRPr="00000000">
        <w:rPr>
          <w:rtl w:val="0"/>
        </w:rPr>
        <w:t xml:space="preserve">Annual counts of contributors </w:t>
      </w:r>
      <w:r w:rsidDel="00000000" w:rsidR="00000000" w:rsidRPr="00000000">
        <w:rPr>
          <w:b w:val="1"/>
          <w:rtl w:val="0"/>
        </w:rPr>
        <w:t xml:space="preserve">grouped by country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apac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latam</w:t>
      </w:r>
      <w:r w:rsidDel="00000000" w:rsidR="00000000" w:rsidRPr="00000000">
        <w:rPr>
          <w:rtl w:val="0"/>
        </w:rPr>
        <w:t xml:space="preserve">). Each line shows how a single country’s contributor pool grows or shrinks over time.</w:t>
      </w:r>
    </w:p>
    <w:p w:rsidR="00000000" w:rsidDel="00000000" w:rsidP="00000000" w:rsidRDefault="00000000" w:rsidRPr="00000000" w14:paraId="0000009D">
      <w:pPr>
        <w:spacing w:after="240" w:before="240" w:line="360" w:lineRule="auto"/>
        <w:rPr/>
      </w:pPr>
      <w:r w:rsidDel="00000000" w:rsidR="00000000" w:rsidRPr="00000000">
        <w:rPr>
          <w:b w:val="1"/>
          <w:rtl w:val="0"/>
        </w:rPr>
        <w:t xml:space="preserve">Why is this type of chart a good choice?</w:t>
        <w:br w:type="textWrapping"/>
      </w:r>
      <w:r w:rsidDel="00000000" w:rsidR="00000000" w:rsidRPr="00000000">
        <w:rPr>
          <w:rtl w:val="0"/>
        </w:rPr>
        <w:t xml:space="preserve">A multi-series line chart makes it trivial to compare </w:t>
      </w:r>
      <w:r w:rsidDel="00000000" w:rsidR="00000000" w:rsidRPr="00000000">
        <w:rPr>
          <w:b w:val="1"/>
          <w:rtl w:val="0"/>
        </w:rPr>
        <w:t xml:space="preserve">trends, peaks, and cross-overs</w:t>
      </w:r>
      <w:r w:rsidDel="00000000" w:rsidR="00000000" w:rsidRPr="00000000">
        <w:rPr>
          <w:rtl w:val="0"/>
        </w:rPr>
        <w:t xml:space="preserve"> between countries. Slope direction immediately signals acceleration or decline, while markers let users read exact values without clutter.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wk1xet760kq0" w:id="34"/>
      <w:bookmarkEnd w:id="34"/>
      <w:r w:rsidDel="00000000" w:rsidR="00000000" w:rsidRPr="00000000">
        <w:rPr>
          <w:rFonts w:ascii="Cambria" w:cs="Cambria" w:eastAsia="Cambria" w:hAnsi="Cambria"/>
          <w:rtl w:val="0"/>
        </w:rPr>
        <w:t xml:space="preserve">filters</w:t>
      </w:r>
    </w:p>
    <w:p w:rsidR="00000000" w:rsidDel="00000000" w:rsidP="00000000" w:rsidRDefault="00000000" w:rsidRPr="00000000" w14:paraId="0000009F">
      <w:pPr>
        <w:numPr>
          <w:ilvl w:val="0"/>
          <w:numId w:val="2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year section selector</w:t>
      </w:r>
      <w:r w:rsidDel="00000000" w:rsidR="00000000" w:rsidRPr="00000000">
        <w:rPr>
          <w:rtl w:val="0"/>
        </w:rPr>
        <w:t xml:space="preserve"> – narrow or widen the time window.</w:t>
      </w:r>
    </w:p>
    <w:p w:rsidR="00000000" w:rsidDel="00000000" w:rsidP="00000000" w:rsidRDefault="00000000" w:rsidRPr="00000000" w14:paraId="000000A0">
      <w:pPr>
        <w:numPr>
          <w:ilvl w:val="0"/>
          <w:numId w:val="21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country multi-select / legend clicks</w:t>
      </w:r>
      <w:r w:rsidDel="00000000" w:rsidR="00000000" w:rsidRPr="00000000">
        <w:rPr>
          <w:rtl w:val="0"/>
        </w:rPr>
        <w:t xml:space="preserve"> – show or hide individual countries for focused comparisons.</w:t>
      </w:r>
    </w:p>
    <w:p w:rsidR="00000000" w:rsidDel="00000000" w:rsidP="00000000" w:rsidRDefault="00000000" w:rsidRPr="00000000" w14:paraId="000000A1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These controls let teams evaluate, for example, whether a 2022 outreach program in </w:t>
      </w:r>
      <w:r w:rsidDel="00000000" w:rsidR="00000000" w:rsidRPr="00000000">
        <w:rPr>
          <w:i w:val="1"/>
          <w:rtl w:val="0"/>
        </w:rPr>
        <w:t xml:space="preserve">latam</w:t>
      </w:r>
      <w:r w:rsidDel="00000000" w:rsidR="00000000" w:rsidRPr="00000000">
        <w:rPr>
          <w:rtl w:val="0"/>
        </w:rPr>
        <w:t xml:space="preserve"> boosted engagement relative to </w:t>
      </w:r>
      <w:r w:rsidDel="00000000" w:rsidR="00000000" w:rsidRPr="00000000">
        <w:rPr>
          <w:i w:val="1"/>
          <w:rtl w:val="0"/>
        </w:rPr>
        <w:t xml:space="preserve">apac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i w:val="1"/>
          <w:rtl w:val="0"/>
        </w:rPr>
        <w:t xml:space="preserve">eu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5zu7434v77gh" w:id="35"/>
      <w:bookmarkEnd w:id="35"/>
      <w:r w:rsidDel="00000000" w:rsidR="00000000" w:rsidRPr="00000000">
        <w:rPr>
          <w:rFonts w:ascii="Cambria" w:cs="Cambria" w:eastAsia="Cambria" w:hAnsi="Cambria"/>
          <w:rtl w:val="0"/>
        </w:rPr>
        <w:t xml:space="preserve">other interaction</w:t>
      </w:r>
    </w:p>
    <w:p w:rsidR="00000000" w:rsidDel="00000000" w:rsidP="00000000" w:rsidRDefault="00000000" w:rsidRPr="00000000" w14:paraId="000000A3">
      <w:pPr>
        <w:numPr>
          <w:ilvl w:val="0"/>
          <w:numId w:val="22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hover</w:t>
      </w:r>
      <w:r w:rsidDel="00000000" w:rsidR="00000000" w:rsidRPr="00000000">
        <w:rPr>
          <w:rtl w:val="0"/>
        </w:rPr>
        <w:t xml:space="preserve"> any point → tooltip with </w:t>
      </w:r>
      <w:r w:rsidDel="00000000" w:rsidR="00000000" w:rsidRPr="00000000">
        <w:rPr>
          <w:i w:val="1"/>
          <w:rtl w:val="0"/>
        </w:rPr>
        <w:t xml:space="preserve">(year, count) country</w:t>
      </w:r>
      <w:r w:rsidDel="00000000" w:rsidR="00000000" w:rsidRPr="00000000">
        <w:rPr>
          <w:rtl w:val="0"/>
        </w:rPr>
        <w:t xml:space="preserve"> (see post-interaction).</w:t>
      </w:r>
    </w:p>
    <w:p w:rsidR="00000000" w:rsidDel="00000000" w:rsidP="00000000" w:rsidRDefault="00000000" w:rsidRPr="00000000" w14:paraId="000000A4">
      <w:pPr>
        <w:numPr>
          <w:ilvl w:val="0"/>
          <w:numId w:val="22"/>
        </w:numPr>
        <w:spacing w:after="20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click</w:t>
      </w:r>
      <w:r w:rsidDel="00000000" w:rsidR="00000000" w:rsidRPr="00000000">
        <w:rPr>
          <w:rtl w:val="0"/>
        </w:rPr>
        <w:t xml:space="preserve"> a legend item → toggles that country’s line on/off; hidden lines are removed from the axis calculations so remaining ones rescale for clarity.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</w:rPr>
      </w:pPr>
      <w:bookmarkStart w:colFirst="0" w:colLast="0" w:name="_2abc8ou4yuxu" w:id="36"/>
      <w:bookmarkEnd w:id="36"/>
      <w:r w:rsidDel="00000000" w:rsidR="00000000" w:rsidRPr="00000000">
        <w:rPr>
          <w:rFonts w:ascii="Cambria" w:cs="Cambria" w:eastAsia="Cambria" w:hAnsi="Cambria"/>
          <w:rtl w:val="0"/>
        </w:rPr>
        <w:t xml:space="preserve">color</w:t>
      </w:r>
    </w:p>
    <w:p w:rsidR="00000000" w:rsidDel="00000000" w:rsidP="00000000" w:rsidRDefault="00000000" w:rsidRPr="00000000" w14:paraId="000000A6">
      <w:pPr>
        <w:spacing w:after="0" w:before="240" w:line="360" w:lineRule="auto"/>
        <w:rPr/>
      </w:pPr>
      <w:r w:rsidDel="00000000" w:rsidR="00000000" w:rsidRPr="00000000">
        <w:rPr>
          <w:rtl w:val="0"/>
        </w:rPr>
        <w:t xml:space="preserve">Blue (#3b82f6), orange (#f97316), green (#22c55e), and red (#ef4444) are perceptually distinct and WCAG-AA compliant against the dark navy background, ensuring every country’s trend stays readable—even for color-blind users.</w:t>
      </w:r>
    </w:p>
    <w:sectPr>
      <w:headerReference r:id="rId27" w:type="default"/>
      <w:pgSz w:h="15840" w:w="12240" w:orient="portrait"/>
      <w:pgMar w:bottom="1440" w:top="1440" w:left="1440" w:right="1440" w:header="360" w:footer="36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Itamar Oren-N" w:id="0" w:date="2025-06-10T21:14:01Z"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FIXME: make more visible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 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 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 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 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 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 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 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 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 "/>
      <w:lvlJc w:val="left"/>
      <w:pPr>
        <w:ind w:left="6480" w:hanging="480"/>
      </w:pPr>
      <w:rPr>
        <w:u w:val="none"/>
      </w:rPr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9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>
        <w:u w:val="none"/>
      </w:rPr>
    </w:lvl>
    <w:lvl w:ilvl="1">
      <w:start w:val="0"/>
      <w:numFmt w:val="bullet"/>
      <w:lvlText w:val="–"/>
      <w:lvlJc w:val="left"/>
      <w:pPr>
        <w:ind w:left="1440" w:hanging="480"/>
      </w:pPr>
      <w:rPr>
        <w:u w:val="none"/>
      </w:rPr>
    </w:lvl>
    <w:lvl w:ilvl="2">
      <w:start w:val="0"/>
      <w:numFmt w:val="bullet"/>
      <w:lvlText w:val="•"/>
      <w:lvlJc w:val="left"/>
      <w:pPr>
        <w:ind w:left="2160" w:hanging="480"/>
      </w:pPr>
      <w:rPr>
        <w:u w:val="none"/>
      </w:rPr>
    </w:lvl>
    <w:lvl w:ilvl="3">
      <w:start w:val="0"/>
      <w:numFmt w:val="bullet"/>
      <w:lvlText w:val="–"/>
      <w:lvlJc w:val="left"/>
      <w:pPr>
        <w:ind w:left="2880" w:hanging="480"/>
      </w:pPr>
      <w:rPr>
        <w:u w:val="none"/>
      </w:rPr>
    </w:lvl>
    <w:lvl w:ilvl="4">
      <w:start w:val="0"/>
      <w:numFmt w:val="bullet"/>
      <w:lvlText w:val="•"/>
      <w:lvlJc w:val="left"/>
      <w:pPr>
        <w:ind w:left="3600" w:hanging="480"/>
      </w:pPr>
      <w:rPr>
        <w:u w:val="none"/>
      </w:rPr>
    </w:lvl>
    <w:lvl w:ilvl="5">
      <w:start w:val="0"/>
      <w:numFmt w:val="bullet"/>
      <w:lvlText w:val="–"/>
      <w:lvlJc w:val="left"/>
      <w:pPr>
        <w:ind w:left="4320" w:hanging="480"/>
      </w:pPr>
      <w:rPr>
        <w:u w:val="none"/>
      </w:rPr>
    </w:lvl>
    <w:lvl w:ilvl="6">
      <w:start w:val="0"/>
      <w:numFmt w:val="bullet"/>
      <w:lvlText w:val="•"/>
      <w:lvlJc w:val="left"/>
      <w:pPr>
        <w:ind w:left="5040" w:hanging="480"/>
      </w:pPr>
      <w:rPr>
        <w:u w:val="none"/>
      </w:rPr>
    </w:lvl>
    <w:lvl w:ilvl="7">
      <w:start w:val="0"/>
      <w:numFmt w:val="bullet"/>
      <w:lvlText w:val="–"/>
      <w:lvlJc w:val="left"/>
      <w:pPr>
        <w:ind w:left="5760" w:hanging="480"/>
      </w:pPr>
      <w:rPr>
        <w:u w:val="none"/>
      </w:rPr>
    </w:lvl>
    <w:lvl w:ilvl="8">
      <w:start w:val="0"/>
      <w:numFmt w:val="bullet"/>
      <w:lvlText w:val="•"/>
      <w:lvlJc w:val="left"/>
      <w:pPr>
        <w:ind w:left="6480" w:hanging="48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7.png"/><Relationship Id="rId24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3.png"/><Relationship Id="rId27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0.png"/><Relationship Id="rId8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18.png"/><Relationship Id="rId12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