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Credit‑Card Fraud Detection Dashboard – Prototype Testing Report</w:t>
      </w:r>
    </w:p>
    <w:p>
      <w:r>
        <w:t>Itamar Oren‑Naftalovich</w:t>
        <w:br/>
        <w:t>COMM 4880/6880 – Interactive Data Visualization</w:t>
        <w:br/>
        <w:t>June 21, 2025</w:t>
      </w:r>
    </w:p>
    <w:p>
      <w:pPr>
        <w:pStyle w:val="Heading2"/>
      </w:pPr>
      <w:r>
        <w:t>A. Written instructions given to participants</w:t>
      </w:r>
    </w:p>
    <w:p>
      <w:r>
        <w:t>hello! thanks for helping us improve an interactive dashboard for credit‑card fraud detection (and also improve my prototype).</w:t>
        <w:br/>
        <w:br/>
        <w:t>what will happen:</w:t>
        <w:br/>
        <w:t>1. i’ll give you nine short tasks to perform on the site.</w:t>
        <w:br/>
        <w:t>2. while you work, please say everything you’re thinking (even small reactions).</w:t>
        <w:br/>
        <w:t>3. when you finish the tasks we’ll have a brief interview, followed by a short survey.</w:t>
        <w:br/>
        <w:br/>
        <w:t>time needed: about 25 minutes.</w:t>
        <w:br/>
        <w:t>confidentiality: your answers are for a university assignment only and i will not include who said what.</w:t>
        <w:br/>
        <w:t>you are not being tested—the interface is. if anything feels unclear, it’s the design, not you.</w:t>
        <w:br/>
        <w:t>voluntary: you can pause or quit anytime.</w:t>
        <w:br/>
        <w:t>prototype link: see section C.</w:t>
      </w:r>
    </w:p>
    <w:p>
      <w:pPr>
        <w:pStyle w:val="Heading2"/>
      </w:pPr>
      <w:r>
        <w:t>B. Task list supplied to participants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#</w:t>
            </w:r>
          </w:p>
        </w:tc>
        <w:tc>
          <w:tcPr>
            <w:tcW w:type="dxa" w:w="2160"/>
          </w:tcPr>
          <w:p>
            <w:r>
              <w:t>view tested</w:t>
            </w:r>
          </w:p>
        </w:tc>
        <w:tc>
          <w:tcPr>
            <w:tcW w:type="dxa" w:w="2160"/>
          </w:tcPr>
          <w:p>
            <w:r>
              <w:t>scenario (spoken to participant)</w:t>
            </w:r>
          </w:p>
        </w:tc>
        <w:tc>
          <w:tcPr>
            <w:tcW w:type="dxa" w:w="2160"/>
          </w:tcPr>
          <w:p>
            <w:r>
              <w:t>success criterion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time‑of‑day</w:t>
            </w:r>
          </w:p>
        </w:tc>
        <w:tc>
          <w:tcPr>
            <w:tcW w:type="dxa" w:w="2160"/>
          </w:tcPr>
          <w:p>
            <w:r>
              <w:t>“during which hour do fraud attempts peak?”</w:t>
            </w:r>
          </w:p>
        </w:tc>
        <w:tc>
          <w:tcPr>
            <w:tcW w:type="dxa" w:w="2160"/>
          </w:tcPr>
          <w:p>
            <w:r>
              <w:t>identifies 02:00–03:00 as peak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time‑of‑day</w:t>
            </w:r>
          </w:p>
        </w:tc>
        <w:tc>
          <w:tcPr>
            <w:tcW w:type="dxa" w:w="2160"/>
          </w:tcPr>
          <w:p>
            <w:r>
              <w:t>“hide the 'total' series; what pattern do you notice?”</w:t>
            </w:r>
          </w:p>
        </w:tc>
        <w:tc>
          <w:tcPr>
            <w:tcW w:type="dxa" w:w="2160"/>
          </w:tcPr>
          <w:p>
            <w:r>
              <w:t>legend used; observes spike 01–05 am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amount distribution</w:t>
            </w:r>
          </w:p>
        </w:tc>
        <w:tc>
          <w:tcPr>
            <w:tcW w:type="dxa" w:w="2160"/>
          </w:tcPr>
          <w:p>
            <w:r>
              <w:t>“are fraud amounts concentrated below €200?”</w:t>
            </w:r>
          </w:p>
        </w:tc>
        <w:tc>
          <w:tcPr>
            <w:tcW w:type="dxa" w:w="2160"/>
          </w:tcPr>
          <w:p>
            <w:r>
              <w:t>verbalises 'yes—about 75 % under €200'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roc curve</w:t>
            </w:r>
          </w:p>
        </w:tc>
        <w:tc>
          <w:tcPr>
            <w:tcW w:type="dxa" w:w="2160"/>
          </w:tcPr>
          <w:p>
            <w:r>
              <w:t>“what is the auc of the model?”</w:t>
            </w:r>
          </w:p>
        </w:tc>
        <w:tc>
          <w:tcPr>
            <w:tcW w:type="dxa" w:w="2160"/>
          </w:tcPr>
          <w:p>
            <w:r>
              <w:t>reads ≈0.93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feature importance</w:t>
            </w:r>
          </w:p>
        </w:tc>
        <w:tc>
          <w:tcPr>
            <w:tcW w:type="dxa" w:w="2160"/>
          </w:tcPr>
          <w:p>
            <w:r>
              <w:t>“which variable contributes most to detection?”</w:t>
            </w:r>
          </w:p>
        </w:tc>
        <w:tc>
          <w:tcPr>
            <w:tcW w:type="dxa" w:w="2160"/>
          </w:tcPr>
          <w:p>
            <w:r>
              <w:t>points to V14 bar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threshold tool</w:t>
            </w:r>
          </w:p>
        </w:tc>
        <w:tc>
          <w:tcPr>
            <w:tcW w:type="dxa" w:w="2160"/>
          </w:tcPr>
          <w:p>
            <w:r>
              <w:t>“set threshold to 0.90; what happens to precision?”</w:t>
            </w:r>
          </w:p>
        </w:tc>
        <w:tc>
          <w:tcPr>
            <w:tcW w:type="dxa" w:w="2160"/>
          </w:tcPr>
          <w:p>
            <w:r>
              <w:t>reads ≈0.97 precision label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threshold tool</w:t>
            </w:r>
          </w:p>
        </w:tc>
        <w:tc>
          <w:tcPr>
            <w:tcW w:type="dxa" w:w="2160"/>
          </w:tcPr>
          <w:p>
            <w:r>
              <w:t>“with threshold 0.50, is net benefit positive?”</w:t>
            </w:r>
          </w:p>
        </w:tc>
        <w:tc>
          <w:tcPr>
            <w:tcW w:type="dxa" w:w="2160"/>
          </w:tcPr>
          <w:p>
            <w:r>
              <w:t>notes net benefit turns negative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impact tab</w:t>
            </w:r>
          </w:p>
        </w:tc>
        <w:tc>
          <w:tcPr>
            <w:tcW w:type="dxa" w:w="2160"/>
          </w:tcPr>
          <w:p>
            <w:r>
              <w:t>“which cost metric is highest at threshold 0.75?”</w:t>
            </w:r>
          </w:p>
        </w:tc>
        <w:tc>
          <w:tcPr>
            <w:tcW w:type="dxa" w:w="2160"/>
          </w:tcPr>
          <w:p>
            <w:r>
              <w:t>identifies review cost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cross‑view</w:t>
            </w:r>
          </w:p>
        </w:tc>
        <w:tc>
          <w:tcPr>
            <w:tcW w:type="dxa" w:w="2160"/>
          </w:tcPr>
          <w:p>
            <w:r>
              <w:t>“switch to data tab and then back; are previous filters remembered?”</w:t>
            </w:r>
          </w:p>
        </w:tc>
        <w:tc>
          <w:tcPr>
            <w:tcW w:type="dxa" w:w="2160"/>
          </w:tcPr>
          <w:p>
            <w:r>
              <w:t>filters persist</w:t>
            </w:r>
          </w:p>
        </w:tc>
      </w:tr>
    </w:tbl>
    <w:p>
      <w:pPr>
        <w:pStyle w:val="Heading2"/>
      </w:pPr>
      <w:r>
        <w:t>C. Link to the prototype</w:t>
      </w:r>
    </w:p>
    <w:p>
      <w:r>
        <w:t>https://rpidatavis.itamarorenn.com/credit‑fraud</w:t>
      </w:r>
    </w:p>
    <w:p>
      <w:pPr>
        <w:pStyle w:val="Heading2"/>
      </w:pPr>
      <w:r>
        <w:t>D. Do the testing participants represent the target audience?</w:t>
      </w:r>
    </w:p>
    <w:p>
      <w:r>
        <w:t>yes. the dashboard targets fraud‑risk analysts and data‑science stakeholders at card‑issuing banks. all five participants have daily exposure to transaction‑risk tooling or analytics.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role &amp; domain expertise</w:t>
            </w:r>
          </w:p>
        </w:tc>
        <w:tc>
          <w:tcPr>
            <w:tcW w:type="dxa" w:w="1440"/>
          </w:tcPr>
          <w:p>
            <w:r>
              <w:t>years analysing fraud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daily transactions reviewed</w:t>
            </w:r>
          </w:p>
        </w:tc>
      </w:tr>
      <w:tr>
        <w:tc>
          <w:tcPr>
            <w:tcW w:type="dxa" w:w="1440"/>
          </w:tcPr>
          <w:p>
            <w:r>
              <w:t>P1</w:t>
            </w:r>
          </w:p>
        </w:tc>
        <w:tc>
          <w:tcPr>
            <w:tcW w:type="dxa" w:w="1440"/>
          </w:tcPr>
          <w:p>
            <w:r>
              <w:t>junior fraud analyst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≈1k</w:t>
            </w:r>
          </w:p>
        </w:tc>
      </w:tr>
      <w:tr>
        <w:tc>
          <w:tcPr>
            <w:tcW w:type="dxa" w:w="1440"/>
          </w:tcPr>
          <w:p>
            <w:r>
              <w:t>P2</w:t>
            </w:r>
          </w:p>
        </w:tc>
        <w:tc>
          <w:tcPr>
            <w:tcW w:type="dxa" w:w="1440"/>
          </w:tcPr>
          <w:p>
            <w:r>
              <w:t>senior fraud analyst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≈5k</w:t>
            </w:r>
          </w:p>
        </w:tc>
      </w:tr>
      <w:tr>
        <w:tc>
          <w:tcPr>
            <w:tcW w:type="dxa" w:w="1440"/>
          </w:tcPr>
          <w:p>
            <w:r>
              <w:t>P3</w:t>
            </w:r>
          </w:p>
        </w:tc>
        <w:tc>
          <w:tcPr>
            <w:tcW w:type="dxa" w:w="1440"/>
          </w:tcPr>
          <w:p>
            <w:r>
              <w:t>data‑science intern (payments)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nb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≈0.5k</w:t>
            </w:r>
          </w:p>
        </w:tc>
      </w:tr>
      <w:tr>
        <w:tc>
          <w:tcPr>
            <w:tcW w:type="dxa" w:w="1440"/>
          </w:tcPr>
          <w:p>
            <w:r>
              <w:t>P4</w:t>
            </w:r>
          </w:p>
        </w:tc>
        <w:tc>
          <w:tcPr>
            <w:tcW w:type="dxa" w:w="1440"/>
          </w:tcPr>
          <w:p>
            <w:r>
              <w:t>risk product manager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≈0 (kpi)</w:t>
            </w:r>
          </w:p>
        </w:tc>
      </w:tr>
      <w:tr>
        <w:tc>
          <w:tcPr>
            <w:tcW w:type="dxa" w:w="1440"/>
          </w:tcPr>
          <w:p>
            <w:r>
              <w:t>P5</w:t>
            </w:r>
          </w:p>
        </w:tc>
        <w:tc>
          <w:tcPr>
            <w:tcW w:type="dxa" w:w="1440"/>
          </w:tcPr>
          <w:p>
            <w:r>
              <w:t>ml engineer (fintech)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≈2k</w:t>
            </w:r>
          </w:p>
        </w:tc>
      </w:tr>
    </w:tbl>
    <w:p>
      <w:pPr>
        <w:pStyle w:val="Heading2"/>
      </w:pPr>
      <w:r>
        <w:t>E. Interview questions and participant responses</w:t>
      </w:r>
    </w:p>
    <w:p>
      <w:r>
        <w:t>• most straightforward task?</w:t>
        <w:br/>
        <w:t xml:space="preserve">    ⦿ T1 (“filtering time chart felt natural”)</w:t>
      </w:r>
    </w:p>
    <w:p>
      <w:r>
        <w:t>• least straightforward?</w:t>
        <w:br/>
        <w:t xml:space="preserve">    ⦿ T8 (“impact labels were not obvious”)</w:t>
      </w:r>
    </w:p>
    <w:p>
      <w:r>
        <w:t>• information missing?</w:t>
        <w:br/>
        <w:t xml:space="preserve">    threshold tooltip lacks expected recall value (P2 &amp; P3)</w:t>
      </w:r>
    </w:p>
    <w:p>
      <w:r>
        <w:t>• tooltip helpful?</w:t>
        <w:br/>
        <w:t xml:space="preserve">    yes, but 'contrast too low' (P4)</w:t>
      </w:r>
    </w:p>
    <w:p>
      <w:r>
        <w:t>• colour misleading?</w:t>
        <w:br/>
        <w:t xml:space="preserve">    total vs fraud bars share hue family (all five)</w:t>
      </w:r>
    </w:p>
    <w:p>
      <w:r>
        <w:t>• remove anything?</w:t>
        <w:br/>
        <w:t xml:space="preserve">    hour‑legend arrow after first click (P1)</w:t>
      </w:r>
    </w:p>
    <w:p>
      <w:r>
        <w:t>• add control?</w:t>
        <w:br/>
        <w:t xml:space="preserve">    numeric input for threshold (P5)</w:t>
      </w:r>
    </w:p>
    <w:p>
      <w:r>
        <w:t>• notice accessibility section?</w:t>
        <w:br/>
        <w:t xml:space="preserve">    4 of 5 did; P3 skipped</w:t>
      </w:r>
    </w:p>
    <w:p>
      <w:r>
        <w:t>• prefer other visuals?</w:t>
        <w:br/>
        <w:t xml:space="preserve">    density plot for amount (P2)</w:t>
      </w:r>
    </w:p>
    <w:p>
      <w:r>
        <w:t>• one immediate change?</w:t>
        <w:br/>
        <w:t xml:space="preserve">    better contrast palette (3 votes)</w:t>
      </w:r>
    </w:p>
    <w:p>
      <w:pPr>
        <w:pStyle w:val="Heading2"/>
      </w:pPr>
      <w:r>
        <w:t>F. Additional probes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context</w:t>
            </w:r>
          </w:p>
        </w:tc>
        <w:tc>
          <w:tcPr>
            <w:tcW w:type="dxa" w:w="2880"/>
          </w:tcPr>
          <w:p>
            <w:r>
              <w:t>follow‑up probe</w:t>
            </w:r>
          </w:p>
        </w:tc>
        <w:tc>
          <w:tcPr>
            <w:tcW w:type="dxa" w:w="2880"/>
          </w:tcPr>
          <w:p>
            <w:r>
              <w:t>insight(s)</w:t>
            </w:r>
          </w:p>
        </w:tc>
      </w:tr>
      <w:tr>
        <w:tc>
          <w:tcPr>
            <w:tcW w:type="dxa" w:w="2880"/>
          </w:tcPr>
          <w:p>
            <w:r>
              <w:t>P1 hesitates at threshold slider</w:t>
            </w:r>
          </w:p>
        </w:tc>
        <w:tc>
          <w:tcPr>
            <w:tcW w:type="dxa" w:w="2880"/>
          </w:tcPr>
          <w:p>
            <w:r>
              <w:t>“what are you looking for?”</w:t>
            </w:r>
          </w:p>
        </w:tc>
        <w:tc>
          <w:tcPr>
            <w:tcW w:type="dxa" w:w="2880"/>
          </w:tcPr>
          <w:p>
            <w:r>
              <w:t>optimal net‑benefit sweet‑spot</w:t>
            </w:r>
          </w:p>
        </w:tc>
      </w:tr>
      <w:tr>
        <w:tc>
          <w:tcPr>
            <w:tcW w:type="dxa" w:w="2880"/>
          </w:tcPr>
          <w:p>
            <w:r>
              <w:t>P3 toggles legend repeatedly</w:t>
            </w:r>
          </w:p>
        </w:tc>
        <w:tc>
          <w:tcPr>
            <w:tcW w:type="dxa" w:w="2880"/>
          </w:tcPr>
          <w:p>
            <w:r>
              <w:t>“tell me what you’re checking.”</w:t>
            </w:r>
          </w:p>
        </w:tc>
        <w:tc>
          <w:tcPr>
            <w:tcW w:type="dxa" w:w="2880"/>
          </w:tcPr>
          <w:p>
            <w:r>
              <w:t>effect on tooltip numbers</w:t>
            </w:r>
          </w:p>
        </w:tc>
      </w:tr>
      <w:tr>
        <w:tc>
          <w:tcPr>
            <w:tcW w:type="dxa" w:w="2880"/>
          </w:tcPr>
          <w:p>
            <w:r>
              <w:t>P4 scans feature list</w:t>
            </w:r>
          </w:p>
        </w:tc>
        <w:tc>
          <w:tcPr>
            <w:tcW w:type="dxa" w:w="2880"/>
          </w:tcPr>
          <w:p>
            <w:r>
              <w:t>“what did you expect here?”</w:t>
            </w:r>
          </w:p>
        </w:tc>
        <w:tc>
          <w:tcPr>
            <w:tcW w:type="dxa" w:w="2880"/>
          </w:tcPr>
          <w:p>
            <w:r>
              <w:t>hover details on each feature bar</w:t>
            </w:r>
          </w:p>
        </w:tc>
      </w:tr>
    </w:tbl>
    <w:p>
      <w:pPr>
        <w:pStyle w:val="Heading2"/>
      </w:pPr>
      <w:r>
        <w:t>G. Link to the survey (blank)</w:t>
      </w:r>
    </w:p>
    <w:p>
      <w:r>
        <w:t>https://forms.gle/credit‑fraud‑survey</w:t>
      </w:r>
    </w:p>
    <w:p>
      <w:pPr>
        <w:pStyle w:val="Heading2"/>
      </w:pPr>
      <w:r>
        <w:t>H. Survey results</w:t>
      </w:r>
    </w:p>
    <w:p>
      <w:r>
        <w:t>with n = 5, all respondents rated overall satisfaction ≥ 4 out of 5; therefore a single sentence suffices per guideline.</w:t>
      </w:r>
    </w:p>
    <w:p>
      <w:r>
        <w:t>• confidence using dashboards: 4, 4, 5, 3, 4 (median = 4)</w:t>
      </w:r>
    </w:p>
    <w:p>
      <w:r>
        <w:t>• colour‑blind‑friendly palette: 80 % ‘sometimes’, 20 % ‘never’</w:t>
      </w:r>
    </w:p>
    <w:p>
      <w:r>
        <w:t>• ease interpreting roc curve: all ‘easy’ (5 / 5)</w:t>
      </w:r>
    </w:p>
    <w:p>
      <w:r>
        <w:t>• precision‑recall tool usefulness: 3 ‘very’, 2 ‘somewhat’</w:t>
      </w:r>
    </w:p>
    <w:p>
      <w:pPr>
        <w:pStyle w:val="Heading2"/>
      </w:pPr>
      <w:r>
        <w:t>I. Discussion of findings</w:t>
      </w:r>
    </w:p>
    <w:p>
      <w:r>
        <w:t>strengths</w:t>
      </w:r>
    </w:p>
    <w:p>
      <w:r>
        <w:t>* overview → drill‑down flow: four participants naturally used the header tabs before filters, mirroring shneiderman’s mantra.</w:t>
        <w:br/>
        <w:t>* decision‑threshold insight: the slider instantly linked model metrics to business kpis, resonating with risk analysts.</w:t>
        <w:br/>
        <w:t>* perceived performance: no participant mentioned load‑time issues.</w:t>
      </w:r>
    </w:p>
    <w:p>
      <w:r>
        <w:t>problems encountered</w:t>
      </w:r>
    </w:p>
    <w:p>
      <w:r>
        <w:t>issue | evidence | violated guideline</w:t>
        <w:br/>
        <w:t>--- | --- | ---</w:t>
        <w:br/>
        <w:t>legend colour overlap (total vs fraud) | mis‑reads in T2 (all participants) | wcag 2.1 contrast</w:t>
        <w:br/>
        <w:t>low‑contrast tooltip text | comments by P4 &amp; P5 | readability</w:t>
        <w:br/>
        <w:t>threshold slider lacks numeric input | P1 &amp; P5 tried manual entry | consistency &amp; standards</w:t>
      </w:r>
    </w:p>
    <w:p>
      <w:pPr>
        <w:pStyle w:val="Heading2"/>
      </w:pPr>
      <w:r>
        <w:t>J. Revisions</w:t>
      </w:r>
    </w:p>
    <w:p>
      <w:r>
        <w:t>1. new palette (#83c5be for total, #e63946 for fraud) passes wcag aa and improves category distinction.</w:t>
        <w:br/>
        <w:t>2. tooltip background switched to #1e1f28 and font weight increased for readability.</w:t>
        <w:br/>
        <w:t>3. numeric input box synchronized with threshold slider, allowing precise values.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