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Magnificent Hoster continued to innovate and push the boundaries of web hosting. In 2010, the company introduced "CloudHost," a cloud-based hosting platform that offered unparalleled scalability and flexibility. This move positioned The Magnificent Hoster at the forefront of the cloud computing revolution.</w:t>
      </w:r>
    </w:p>
    <w:p w:rsidR="00000000" w:rsidDel="00000000" w:rsidP="00000000" w:rsidRDefault="00000000" w:rsidRPr="00000000" w14:paraId="00000002">
      <w:pPr>
        <w:shd w:fill="ffffff" w:val="clear"/>
        <w:spacing w:after="240" w:before="240" w:lineRule="auto"/>
        <w:rPr/>
      </w:pPr>
      <w:r w:rsidDel="00000000" w:rsidR="00000000" w:rsidRPr="00000000">
        <w:rPr>
          <w:rFonts w:ascii="Roboto" w:cs="Roboto" w:eastAsia="Roboto" w:hAnsi="Roboto"/>
          <w:sz w:val="24"/>
          <w:szCs w:val="24"/>
          <w:rtl w:val="0"/>
        </w:rPr>
        <w:t xml:space="preserve">During this period, The Magnificent Hoster also forged strategic partnerships with leading technology companies, including cPanel, Softaculous, and Let's Encrypt. These collaborations enabled the company to stay ahead of the curve, incorporating the latest technologies into its services.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