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0F2" w:rsidRDefault="006D30F2" w:rsidP="006D30F2">
      <w:pPr>
        <w:pStyle w:val="1"/>
        <w:numPr>
          <w:ilvl w:val="0"/>
          <w:numId w:val="1"/>
        </w:numPr>
        <w:spacing w:before="240"/>
        <w:ind w:left="0" w:firstLine="425"/>
      </w:pPr>
      <w:bookmarkStart w:id="0" w:name="_Toc11678094"/>
      <w:r>
        <w:t xml:space="preserve">Постановка </w:t>
      </w:r>
      <w:r w:rsidRPr="00B55580">
        <w:rPr>
          <w:rFonts w:eastAsia="Times New Roman" w:cs="Times New Roman"/>
          <w:bCs w:val="0"/>
          <w:color w:val="000000" w:themeColor="text1"/>
          <w:szCs w:val="32"/>
          <w:lang w:eastAsia="ru-RU"/>
        </w:rPr>
        <w:t>цели</w:t>
      </w:r>
      <w:r>
        <w:t xml:space="preserve"> и задачи</w:t>
      </w:r>
      <w:bookmarkEnd w:id="0"/>
    </w:p>
    <w:p w:rsidR="006D30F2" w:rsidRPr="00B55580" w:rsidRDefault="006D30F2" w:rsidP="006D30F2">
      <w:pPr>
        <w:ind w:firstLine="425"/>
      </w:pPr>
    </w:p>
    <w:p w:rsidR="006D30F2" w:rsidRDefault="006D30F2" w:rsidP="006D30F2">
      <w:pPr>
        <w:pStyle w:val="2"/>
        <w:numPr>
          <w:ilvl w:val="1"/>
          <w:numId w:val="1"/>
        </w:numPr>
        <w:spacing w:before="0"/>
        <w:ind w:left="0" w:firstLine="425"/>
      </w:pPr>
      <w:bookmarkStart w:id="1" w:name="_Toc11678095"/>
      <w:r w:rsidRPr="00B55580">
        <w:t>Описание</w:t>
      </w:r>
      <w:r>
        <w:t xml:space="preserve"> предметной области</w:t>
      </w:r>
      <w:bookmarkEnd w:id="1"/>
    </w:p>
    <w:p w:rsidR="006D30F2" w:rsidRPr="00B55580" w:rsidRDefault="006D30F2" w:rsidP="006D30F2">
      <w:pPr>
        <w:ind w:firstLine="425"/>
      </w:pPr>
    </w:p>
    <w:p w:rsidR="006D30F2" w:rsidRDefault="006D30F2" w:rsidP="006D30F2">
      <w:pPr>
        <w:pStyle w:val="1"/>
        <w:numPr>
          <w:ilvl w:val="2"/>
          <w:numId w:val="1"/>
        </w:numPr>
        <w:spacing w:before="0"/>
        <w:ind w:left="0" w:firstLine="425"/>
      </w:pPr>
      <w:bookmarkStart w:id="2" w:name="_Toc11678096"/>
      <w:r w:rsidRPr="00B55580">
        <w:t>Основные</w:t>
      </w:r>
      <w:r>
        <w:t xml:space="preserve"> понятия</w:t>
      </w:r>
      <w:bookmarkEnd w:id="2"/>
    </w:p>
    <w:p w:rsidR="006D30F2" w:rsidRPr="00B55580" w:rsidRDefault="006D30F2" w:rsidP="006D30F2">
      <w:pPr>
        <w:ind w:firstLine="425"/>
      </w:pPr>
    </w:p>
    <w:p w:rsidR="006D30F2" w:rsidRDefault="006D30F2" w:rsidP="006D30F2">
      <w:pPr>
        <w:pStyle w:val="14"/>
        <w:ind w:firstLine="425"/>
      </w:pPr>
      <w:r w:rsidRPr="00B55580">
        <w:t>Ключевой термин в рамках данной работы – информация. Информация представляет собой любые сведения независимо от формы их представления</w:t>
      </w:r>
      <w:r>
        <w:t xml:space="preserve">. </w:t>
      </w:r>
    </w:p>
    <w:p w:rsidR="006D30F2" w:rsidRDefault="006D30F2" w:rsidP="006D30F2">
      <w:pPr>
        <w:pStyle w:val="14"/>
        <w:ind w:firstLine="425"/>
      </w:pPr>
      <w:r>
        <w:t xml:space="preserve">Информация обладает следующими свойствами: </w:t>
      </w:r>
    </w:p>
    <w:p w:rsidR="006D30F2" w:rsidRDefault="006D30F2" w:rsidP="006D30F2">
      <w:pPr>
        <w:pStyle w:val="a3"/>
        <w:numPr>
          <w:ilvl w:val="0"/>
          <w:numId w:val="2"/>
        </w:numPr>
        <w:ind w:left="0" w:firstLine="425"/>
      </w:pPr>
      <w:r>
        <w:t>о</w:t>
      </w:r>
      <w:r w:rsidRPr="00485C6F">
        <w:t>бъективность. Информация в любом своём проявлении объективна, она отобража</w:t>
      </w:r>
      <w:r>
        <w:t>ет объективную действительность;</w:t>
      </w:r>
      <w:r w:rsidRPr="00485C6F">
        <w:t xml:space="preserve"> </w:t>
      </w:r>
    </w:p>
    <w:p w:rsidR="006D30F2" w:rsidRPr="00485C6F" w:rsidRDefault="006D30F2" w:rsidP="006D30F2">
      <w:pPr>
        <w:pStyle w:val="a3"/>
        <w:numPr>
          <w:ilvl w:val="0"/>
          <w:numId w:val="2"/>
        </w:numPr>
        <w:ind w:left="0" w:firstLine="425"/>
      </w:pPr>
      <w:r>
        <w:t>д</w:t>
      </w:r>
      <w:r w:rsidRPr="00485C6F">
        <w:t xml:space="preserve">остоверность. Информация достоверна, если она отражает истинное положение дел. Достоверная информация помогает </w:t>
      </w:r>
      <w:r>
        <w:t>принять нам правильное решение;</w:t>
      </w:r>
    </w:p>
    <w:p w:rsidR="006D30F2" w:rsidRPr="00485C6F" w:rsidRDefault="006D30F2" w:rsidP="006D30F2">
      <w:pPr>
        <w:pStyle w:val="a3"/>
        <w:numPr>
          <w:ilvl w:val="0"/>
          <w:numId w:val="2"/>
        </w:numPr>
        <w:ind w:left="0" w:firstLine="425"/>
      </w:pPr>
      <w:r>
        <w:t>п</w:t>
      </w:r>
      <w:r w:rsidRPr="00485C6F">
        <w:t xml:space="preserve">олнота. Информацию можно назвать полной, если ее достаточно для понимания и принятия решений. Неполная информация может привести </w:t>
      </w:r>
      <w:r>
        <w:t>к ошибочному выводу или решению;</w:t>
      </w:r>
    </w:p>
    <w:p w:rsidR="006D30F2" w:rsidRPr="00485C6F" w:rsidRDefault="006D30F2" w:rsidP="006D30F2">
      <w:pPr>
        <w:pStyle w:val="a3"/>
        <w:numPr>
          <w:ilvl w:val="0"/>
          <w:numId w:val="2"/>
        </w:numPr>
        <w:ind w:left="0" w:firstLine="425"/>
      </w:pPr>
      <w:r>
        <w:t>т</w:t>
      </w:r>
      <w:r w:rsidRPr="00485C6F">
        <w:t>очность определяется степенью ее близости к реальному состоянию о</w:t>
      </w:r>
      <w:r>
        <w:t>бъекта, процесса, явления;</w:t>
      </w:r>
    </w:p>
    <w:p w:rsidR="006D30F2" w:rsidRPr="00485C6F" w:rsidRDefault="006D30F2" w:rsidP="006D30F2">
      <w:pPr>
        <w:pStyle w:val="a3"/>
        <w:numPr>
          <w:ilvl w:val="0"/>
          <w:numId w:val="2"/>
        </w:numPr>
        <w:ind w:left="0" w:firstLine="425"/>
      </w:pPr>
      <w:r>
        <w:t>а</w:t>
      </w:r>
      <w:r w:rsidRPr="00485C6F">
        <w:t>ктуальность</w:t>
      </w:r>
      <w:r>
        <w:t xml:space="preserve"> –</w:t>
      </w:r>
      <w:r w:rsidRPr="00485C6F">
        <w:t xml:space="preserve"> важность для настоящего времени, злободневность, насущность. Только вовремя полученна</w:t>
      </w:r>
      <w:r>
        <w:t>я информация может быть полезна</w:t>
      </w:r>
      <w:r w:rsidRPr="0071717E">
        <w:t>;</w:t>
      </w:r>
    </w:p>
    <w:p w:rsidR="006D30F2" w:rsidRPr="00485C6F" w:rsidRDefault="006D30F2" w:rsidP="006D30F2">
      <w:pPr>
        <w:pStyle w:val="a3"/>
        <w:numPr>
          <w:ilvl w:val="0"/>
          <w:numId w:val="2"/>
        </w:numPr>
        <w:ind w:left="0" w:firstLine="425"/>
      </w:pPr>
      <w:r>
        <w:t>п</w:t>
      </w:r>
      <w:r w:rsidRPr="00485C6F">
        <w:t>олезность (ценность). Полезность может быть оценена применительно к нуждам конкретных ее потребителей и оценивается по тем задачам, которые можно решить с ее помощью</w:t>
      </w:r>
      <w:r>
        <w:t>.</w:t>
      </w:r>
    </w:p>
    <w:p w:rsidR="006D30F2" w:rsidRPr="00857A8E" w:rsidRDefault="006D30F2" w:rsidP="006D30F2">
      <w:pPr>
        <w:pStyle w:val="a3"/>
        <w:numPr>
          <w:ilvl w:val="0"/>
          <w:numId w:val="2"/>
        </w:numPr>
        <w:ind w:left="0" w:firstLine="425"/>
      </w:pPr>
      <w:r>
        <w:t xml:space="preserve">В силу того, что информация может обладать определенной ценностью, ее необходимо защищать. Согласно ФЗ от </w:t>
      </w:r>
      <w:hyperlink r:id="rId5" w:history="1">
        <w:r w:rsidRPr="00857A8E">
          <w:t xml:space="preserve"> 27.07.2006 N 149-ФЗ (ред. от 18.03.2019) "Об информации, информационных технологиях и о защите </w:t>
        </w:r>
        <w:r w:rsidRPr="00857A8E">
          <w:lastRenderedPageBreak/>
          <w:t>информации"</w:t>
        </w:r>
      </w:hyperlink>
      <w:bookmarkStart w:id="3" w:name="dst100144"/>
      <w:bookmarkStart w:id="4" w:name="dst100145"/>
      <w:bookmarkEnd w:id="3"/>
      <w:bookmarkEnd w:id="4"/>
      <w:r w:rsidRPr="000839A6">
        <w:t xml:space="preserve"> </w:t>
      </w:r>
      <w:r w:rsidRPr="00857A8E">
        <w:t>защита информации представляет собой принятие правовых, организационных и технических мер, направленных на:</w:t>
      </w:r>
    </w:p>
    <w:p w:rsidR="006D30F2" w:rsidRPr="00857A8E" w:rsidRDefault="006D30F2" w:rsidP="006D30F2">
      <w:pPr>
        <w:pStyle w:val="a3"/>
        <w:numPr>
          <w:ilvl w:val="0"/>
          <w:numId w:val="2"/>
        </w:numPr>
        <w:ind w:left="0" w:firstLine="425"/>
      </w:pPr>
      <w:bookmarkStart w:id="5" w:name="dst100146"/>
      <w:bookmarkEnd w:id="5"/>
      <w:r w:rsidRPr="00857A8E">
        <w:t>обеспечение защиты информации от неправомерного доступа, уничтожения, модифицирования, блокирования, копирования, предоставления, распространения, а также от иных неправомерных действий в отношении такой информации;</w:t>
      </w:r>
    </w:p>
    <w:p w:rsidR="006D30F2" w:rsidRPr="00857A8E" w:rsidRDefault="006D30F2" w:rsidP="006D30F2">
      <w:pPr>
        <w:pStyle w:val="a3"/>
        <w:numPr>
          <w:ilvl w:val="0"/>
          <w:numId w:val="2"/>
        </w:numPr>
        <w:ind w:left="0" w:firstLine="425"/>
      </w:pPr>
      <w:bookmarkStart w:id="6" w:name="dst100147"/>
      <w:bookmarkEnd w:id="6"/>
      <w:r w:rsidRPr="00857A8E">
        <w:t>соблюдение конфиденциальности информации ограниченного доступа;</w:t>
      </w:r>
    </w:p>
    <w:p w:rsidR="006D30F2" w:rsidRDefault="006D30F2" w:rsidP="006D30F2">
      <w:pPr>
        <w:pStyle w:val="a3"/>
        <w:numPr>
          <w:ilvl w:val="0"/>
          <w:numId w:val="2"/>
        </w:numPr>
        <w:ind w:left="0" w:firstLine="425"/>
      </w:pPr>
      <w:bookmarkStart w:id="7" w:name="dst100148"/>
      <w:bookmarkEnd w:id="7"/>
      <w:r w:rsidRPr="00857A8E">
        <w:t>реализацию права на доступ к информации.</w:t>
      </w:r>
    </w:p>
    <w:p w:rsidR="006D30F2" w:rsidRPr="00E26EE9" w:rsidRDefault="006D30F2" w:rsidP="006D30F2">
      <w:pPr>
        <w:pStyle w:val="14"/>
        <w:ind w:firstLine="425"/>
      </w:pPr>
      <w:r>
        <w:t>Такая защита обеспечивается соблюдение трех принципов – доступности, целостности и конфиденциальности.</w:t>
      </w:r>
    </w:p>
    <w:p w:rsidR="006D30F2" w:rsidRPr="00E26EE9" w:rsidRDefault="006D30F2" w:rsidP="006D30F2">
      <w:pPr>
        <w:pStyle w:val="14"/>
        <w:ind w:firstLine="425"/>
      </w:pPr>
      <w:r>
        <w:t>Конфиденциальность –</w:t>
      </w:r>
      <w:r w:rsidRPr="00E26EE9">
        <w:t xml:space="preserve"> свойство информации быть недоступной или закрытой для неавторизованных лиц, сущностей или процессов;</w:t>
      </w:r>
    </w:p>
    <w:p w:rsidR="006D30F2" w:rsidRPr="00E26EE9" w:rsidRDefault="006D30F2" w:rsidP="006D30F2">
      <w:pPr>
        <w:pStyle w:val="14"/>
        <w:ind w:firstLine="425"/>
      </w:pPr>
      <w:r w:rsidRPr="00E26EE9">
        <w:t>Целостность </w:t>
      </w:r>
      <w:r>
        <w:t>–</w:t>
      </w:r>
      <w:r w:rsidRPr="00F53062">
        <w:t xml:space="preserve"> </w:t>
      </w:r>
      <w:r w:rsidRPr="00E26EE9">
        <w:t>свойство сохранения правильности и полноты активов;</w:t>
      </w:r>
    </w:p>
    <w:p w:rsidR="006D30F2" w:rsidRDefault="006D30F2" w:rsidP="006D30F2">
      <w:pPr>
        <w:pStyle w:val="14"/>
        <w:ind w:firstLine="425"/>
      </w:pPr>
      <w:r>
        <w:t>Д</w:t>
      </w:r>
      <w:r w:rsidRPr="00E26EE9">
        <w:t>оступность </w:t>
      </w:r>
      <w:r>
        <w:t>–</w:t>
      </w:r>
      <w:r w:rsidRPr="00F53062">
        <w:t xml:space="preserve"> </w:t>
      </w:r>
      <w:r w:rsidRPr="00E26EE9">
        <w:t>свойство быть доступным и готовым к использованию по запросу авторизованного субъекта</w:t>
      </w:r>
      <w:r>
        <w:t>.</w:t>
      </w:r>
    </w:p>
    <w:p w:rsidR="006D30F2" w:rsidRPr="003E1009" w:rsidRDefault="006D30F2" w:rsidP="006D30F2">
      <w:pPr>
        <w:pStyle w:val="14"/>
        <w:ind w:firstLine="425"/>
      </w:pPr>
      <w:r w:rsidRPr="003E1009">
        <w:t>К защищаемой информации относится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</w:t>
      </w:r>
      <w:r>
        <w:t>ыми собственником информации</w:t>
      </w:r>
      <w:r w:rsidRPr="003E1009">
        <w:t>. Это, как правило, информация ограниченного доступа, содержащая сведения, отнесенные к государственной тайне, а также сведения конфиденциального характера.</w:t>
      </w:r>
    </w:p>
    <w:p w:rsidR="006D30F2" w:rsidRDefault="006D30F2" w:rsidP="006D30F2">
      <w:pPr>
        <w:pStyle w:val="14"/>
        <w:ind w:firstLine="425"/>
      </w:pPr>
      <w:r w:rsidRPr="003E1009">
        <w:t>Совокупность операций ввода, вывода</w:t>
      </w:r>
      <w:r>
        <w:t xml:space="preserve">, </w:t>
      </w:r>
      <w:r w:rsidRPr="003E1009">
        <w:t>сбора,</w:t>
      </w:r>
      <w:r w:rsidRPr="00211E6B">
        <w:t xml:space="preserve"> </w:t>
      </w:r>
      <w:r w:rsidRPr="003E1009">
        <w:t>записи, хранения, регистрации</w:t>
      </w:r>
      <w:r>
        <w:t>, накопления,</w:t>
      </w:r>
      <w:r w:rsidRPr="00211E6B">
        <w:t xml:space="preserve"> </w:t>
      </w:r>
      <w:r w:rsidRPr="003E1009">
        <w:t>уничтожения, преобразования</w:t>
      </w:r>
      <w:r>
        <w:t>, приема, передачи</w:t>
      </w:r>
      <w:r w:rsidRPr="003E1009">
        <w:t xml:space="preserve"> и отображения информации часто называют обобщенным термином обработка информации</w:t>
      </w:r>
      <w:r>
        <w:t>.</w:t>
      </w:r>
      <w:r w:rsidRPr="003E1009">
        <w:t> </w:t>
      </w:r>
    </w:p>
    <w:p w:rsidR="006D30F2" w:rsidRDefault="006D30F2" w:rsidP="006D30F2">
      <w:pPr>
        <w:pStyle w:val="14"/>
        <w:ind w:firstLine="425"/>
      </w:pPr>
      <w:r>
        <w:t xml:space="preserve">С этим же понятием связаны информационные технологии – </w:t>
      </w:r>
      <w:r w:rsidRPr="00211E6B">
        <w:t>процессы, методы поиска, сбора, хранения, обработки, предоставления, распространения </w:t>
      </w:r>
      <w:hyperlink r:id="rId6" w:tooltip="Информация" w:history="1">
        <w:r w:rsidRPr="00211E6B">
          <w:t>информации</w:t>
        </w:r>
      </w:hyperlink>
      <w:r>
        <w:t xml:space="preserve"> </w:t>
      </w:r>
      <w:r w:rsidRPr="00211E6B">
        <w:t>и способы осуществления таких процессов и методов</w:t>
      </w:r>
      <w:r>
        <w:t>.</w:t>
      </w:r>
    </w:p>
    <w:p w:rsidR="006D30F2" w:rsidRDefault="006D30F2" w:rsidP="006D30F2">
      <w:pPr>
        <w:pStyle w:val="14"/>
        <w:ind w:firstLine="425"/>
      </w:pPr>
    </w:p>
    <w:p w:rsidR="006D30F2" w:rsidRDefault="006D30F2" w:rsidP="006D30F2">
      <w:pPr>
        <w:pStyle w:val="14"/>
        <w:ind w:firstLine="425"/>
      </w:pPr>
    </w:p>
    <w:p w:rsidR="006D30F2" w:rsidRPr="00485C6F" w:rsidRDefault="006D30F2" w:rsidP="006D30F2">
      <w:pPr>
        <w:pStyle w:val="14"/>
        <w:ind w:firstLine="425"/>
      </w:pPr>
    </w:p>
    <w:p w:rsidR="006D30F2" w:rsidRDefault="006D30F2" w:rsidP="006D30F2">
      <w:pPr>
        <w:pStyle w:val="1"/>
        <w:numPr>
          <w:ilvl w:val="2"/>
          <w:numId w:val="1"/>
        </w:numPr>
        <w:spacing w:before="0"/>
        <w:ind w:left="0" w:firstLine="425"/>
      </w:pPr>
      <w:bookmarkStart w:id="8" w:name="_Toc11678097"/>
      <w:r>
        <w:t>Угрозы информации</w:t>
      </w:r>
      <w:bookmarkEnd w:id="8"/>
    </w:p>
    <w:p w:rsidR="006D30F2" w:rsidRPr="00F63CC5" w:rsidRDefault="006D30F2" w:rsidP="006D30F2">
      <w:pPr>
        <w:ind w:firstLine="425"/>
      </w:pPr>
    </w:p>
    <w:p w:rsidR="006D30F2" w:rsidRPr="008261D6" w:rsidRDefault="006D30F2" w:rsidP="006D30F2">
      <w:pPr>
        <w:pStyle w:val="14"/>
        <w:ind w:firstLine="425"/>
      </w:pPr>
      <w:r w:rsidRPr="008261D6">
        <w:t>Угроза информационной безопасности </w:t>
      </w:r>
      <w:r>
        <w:t>–</w:t>
      </w:r>
      <w:r w:rsidRPr="008261D6">
        <w:t xml:space="preserve"> совокупность условий и факторов, создающих опасность нарушения </w:t>
      </w:r>
      <w:hyperlink r:id="rId7" w:tooltip="Информационная безопасность" w:history="1">
        <w:r w:rsidRPr="008261D6">
          <w:t>информационной безопасности</w:t>
        </w:r>
      </w:hyperlink>
      <w:r>
        <w:t>.</w:t>
      </w:r>
      <w:r w:rsidRPr="008261D6">
        <w:t xml:space="preserve"> </w:t>
      </w:r>
    </w:p>
    <w:p w:rsidR="006D30F2" w:rsidRPr="008261D6" w:rsidRDefault="006D30F2" w:rsidP="006D30F2">
      <w:pPr>
        <w:pStyle w:val="14"/>
        <w:ind w:firstLine="425"/>
      </w:pPr>
      <w:r w:rsidRPr="008261D6">
        <w:t>Под угрозой (в общем) понимается потенциально возможное событие, действие (воздействие), процесс или явление, которые могут привести к нанесению ущерба чьим-либо интересам.</w:t>
      </w:r>
    </w:p>
    <w:p w:rsidR="006D30F2" w:rsidRPr="008261D6" w:rsidRDefault="006D30F2" w:rsidP="006D30F2">
      <w:pPr>
        <w:pStyle w:val="14"/>
        <w:ind w:firstLine="425"/>
      </w:pPr>
      <w:r w:rsidRPr="008261D6">
        <w:t xml:space="preserve">Под угрозой интересам субъектов информационных отношений понимают потенциально возможное событие, процесс или явление, которое посредством воздействия на информацию или другие компоненты информационной системы может прямо или косвенно привести к нанесению ущерба интересам данных субъектов. </w:t>
      </w:r>
    </w:p>
    <w:p w:rsidR="006D30F2" w:rsidRPr="008261D6" w:rsidRDefault="006D30F2" w:rsidP="006D30F2">
      <w:pPr>
        <w:pStyle w:val="14"/>
        <w:ind w:firstLine="425"/>
      </w:pPr>
      <w:r w:rsidRPr="008261D6">
        <w:t>Носителями угроз безопасности информации являются источники угроз. В качестве источников угроз могут выступать как субъекты (личность), так и объективные проявления, например, конкуренты, преступники, коррупционеры, административно-управленческие органы. Источники угроз преследуют при этом следующие цели: ознакомление с охраняемыми сведениями, их модификация в корыстных целях и уничтожение для нанесения прямого материального ущерба.</w:t>
      </w:r>
    </w:p>
    <w:p w:rsidR="006D30F2" w:rsidRPr="008261D6" w:rsidRDefault="006D30F2" w:rsidP="006D30F2">
      <w:pPr>
        <w:pStyle w:val="14"/>
        <w:ind w:firstLine="425"/>
      </w:pPr>
      <w:r w:rsidRPr="008261D6">
        <w:t>Все источники угроз информационной безопасности можно разделить на три основные группы:</w:t>
      </w:r>
    </w:p>
    <w:p w:rsidR="006D30F2" w:rsidRPr="008261D6" w:rsidRDefault="006D30F2" w:rsidP="006D30F2">
      <w:pPr>
        <w:pStyle w:val="a3"/>
        <w:numPr>
          <w:ilvl w:val="0"/>
          <w:numId w:val="2"/>
        </w:numPr>
        <w:ind w:left="0" w:firstLine="425"/>
      </w:pPr>
      <w:r>
        <w:t>о</w:t>
      </w:r>
      <w:r w:rsidRPr="008261D6">
        <w:t>бусловленные действиями субъекта – субъекты, действия которых могут привести к нарушению безопасности информации, данные действия могут быть квалифицированы как умышленные или случайные преступления. Источники, действия которых могут привести к нарушению безопасности информации могут быть как внешними, так и внутренними. Данные источники можно спрогнозиро</w:t>
      </w:r>
      <w:r>
        <w:t>вать, и принять адекватные меры;</w:t>
      </w:r>
    </w:p>
    <w:p w:rsidR="006D30F2" w:rsidRPr="008261D6" w:rsidRDefault="006D30F2" w:rsidP="006D30F2">
      <w:pPr>
        <w:pStyle w:val="a3"/>
        <w:numPr>
          <w:ilvl w:val="0"/>
          <w:numId w:val="2"/>
        </w:numPr>
        <w:ind w:left="0" w:firstLine="425"/>
      </w:pPr>
      <w:r>
        <w:lastRenderedPageBreak/>
        <w:t>о</w:t>
      </w:r>
      <w:r w:rsidRPr="008261D6">
        <w:t xml:space="preserve">бусловленные техническими средствами – эти источники напрямую зависят от свойств техники и поэтому требуют особого внимания. Данные источники угроз информационной безопасности, также могут быть </w:t>
      </w:r>
      <w:r>
        <w:t>как внутренними, так и внешними;</w:t>
      </w:r>
    </w:p>
    <w:p w:rsidR="006D30F2" w:rsidRDefault="006D30F2" w:rsidP="006D30F2">
      <w:pPr>
        <w:pStyle w:val="a3"/>
        <w:numPr>
          <w:ilvl w:val="0"/>
          <w:numId w:val="2"/>
        </w:numPr>
        <w:ind w:left="0" w:firstLine="425"/>
      </w:pPr>
      <w:r>
        <w:t>с</w:t>
      </w:r>
      <w:r w:rsidRPr="008261D6">
        <w:t>тихийные источники – данная группа объединяет обстоятельства, составляющие непреодолимую силу (стихийные бедствия или другие обстоятельства, которые невозможно предусмотреть или предотвратить, или возможно предусмотреть</w:t>
      </w:r>
      <w:r>
        <w:t>, но невозможно предотвратить)</w:t>
      </w:r>
    </w:p>
    <w:p w:rsidR="006D30F2" w:rsidRDefault="006D30F2" w:rsidP="006D30F2">
      <w:pPr>
        <w:pStyle w:val="14"/>
        <w:ind w:firstLine="425"/>
      </w:pPr>
      <w:r w:rsidRPr="000001C0">
        <w:t>Попытка реализации угрозы называется атакой.</w:t>
      </w:r>
    </w:p>
    <w:p w:rsidR="006D30F2" w:rsidRPr="008261D6" w:rsidRDefault="006D30F2" w:rsidP="006D30F2">
      <w:pPr>
        <w:ind w:firstLine="425"/>
      </w:pPr>
    </w:p>
    <w:p w:rsidR="006D30F2" w:rsidRDefault="006D30F2" w:rsidP="006D30F2">
      <w:pPr>
        <w:pStyle w:val="1"/>
        <w:numPr>
          <w:ilvl w:val="2"/>
          <w:numId w:val="1"/>
        </w:numPr>
        <w:spacing w:before="0"/>
        <w:ind w:left="0" w:firstLine="425"/>
      </w:pPr>
      <w:bookmarkStart w:id="9" w:name="_Toc11678098"/>
      <w:r>
        <w:t>Защита информации от утечки по техническим каналам</w:t>
      </w:r>
      <w:bookmarkEnd w:id="9"/>
    </w:p>
    <w:p w:rsidR="006D30F2" w:rsidRPr="00F63CC5" w:rsidRDefault="006D30F2" w:rsidP="006D30F2">
      <w:pPr>
        <w:ind w:firstLine="425"/>
      </w:pPr>
    </w:p>
    <w:p w:rsidR="006D30F2" w:rsidRPr="000839A6" w:rsidRDefault="006D30F2" w:rsidP="006D30F2">
      <w:pPr>
        <w:pStyle w:val="14"/>
        <w:ind w:firstLine="425"/>
      </w:pPr>
      <w:r w:rsidRPr="003E1009">
        <w:t>К техническим средствам передачи, обработки, хранения и отображения информации ограниченного доступа (ТСПИ)</w:t>
      </w:r>
      <w:r>
        <w:t> относятся</w:t>
      </w:r>
      <w:r w:rsidRPr="003E1009">
        <w:t xml:space="preserve">: технические средства автоматизированных систем управления, электронно-вычислительные машины и их отдельные элементы; средства изготовления и размножения документов; аппаратура звукоусиления, звукозаписи, звуковоспроизведения и синхронного перевода; системы внутреннего телевидения; системы видеозаписи и </w:t>
      </w:r>
      <w:proofErr w:type="spellStart"/>
      <w:r w:rsidRPr="003E1009">
        <w:t>видеовоспроизведения</w:t>
      </w:r>
      <w:proofErr w:type="spellEnd"/>
      <w:r w:rsidRPr="003E1009">
        <w:t>; системы оперативно-командной связи; системы внутренней автоматической телефонной связи, включая и соединительные линии перечисленного выше оборудования и т.д. Данные технические средства и системы в ряде случаев именуются основными техническими средствами и системами </w:t>
      </w:r>
      <w:r>
        <w:t>(ОТСС).</w:t>
      </w:r>
    </w:p>
    <w:p w:rsidR="006D30F2" w:rsidRDefault="006D30F2" w:rsidP="006D30F2">
      <w:pPr>
        <w:pStyle w:val="14"/>
        <w:ind w:firstLine="425"/>
      </w:pPr>
      <w:r w:rsidRPr="003E1009">
        <w:t xml:space="preserve">Наряду с техническими средствами и системами, обрабатывающими информацию ограниченного доступа, на объектах ТСПИ также устанавливаются вспомогательные технические средства и системы (ВТСС), непосредственно не участвующие в ее обработке. К ним относятся: системы и средства городской автоматической телефонной связи; системы и средства передачи данных в системе радиосвязи; системы и средства охранной и </w:t>
      </w:r>
      <w:r w:rsidRPr="003E1009">
        <w:lastRenderedPageBreak/>
        <w:t xml:space="preserve">пожарной сигнализации; системы и средства оповещения и сигнализации; контрольно-измерительная аппаратура; системы и средства кондиционирования; системы и средства проводной радиотрансляционной сети и приема программ радиовещания и телевидения (абонентские громкоговорители, средства радиовещания; телевизоры и радиоприемники и т.д.); </w:t>
      </w:r>
      <w:r>
        <w:t>средства электронной оргтехники.</w:t>
      </w:r>
    </w:p>
    <w:p w:rsidR="006D30F2" w:rsidRDefault="006D30F2" w:rsidP="006D30F2">
      <w:pPr>
        <w:pStyle w:val="14"/>
        <w:ind w:firstLine="425"/>
      </w:pPr>
      <w:r w:rsidRPr="004C77A9">
        <w:t>Совокупность объекта разведки (в данном случае - объекта ТСПИ), технического средства разведки, с помощью которого добывается информация, и физической среды, в которой распространяется информационный сигнал, называется техническим каналом утечки информации </w:t>
      </w:r>
      <w:r>
        <w:t>(рис. 1.1).</w:t>
      </w:r>
    </w:p>
    <w:p w:rsidR="006D30F2" w:rsidRDefault="006D30F2" w:rsidP="006D30F2">
      <w:pPr>
        <w:keepNext/>
        <w:ind w:firstLine="425"/>
      </w:pPr>
      <w:r>
        <w:rPr>
          <w:noProof/>
          <w:lang w:eastAsia="ru-RU"/>
        </w:rPr>
        <w:drawing>
          <wp:inline distT="0" distB="0" distL="0" distR="0" wp14:anchorId="344DEC0C" wp14:editId="2C655397">
            <wp:extent cx="4905375" cy="2057400"/>
            <wp:effectExtent l="0" t="0" r="9525" b="0"/>
            <wp:docPr id="1" name="Рисунок 1" descr="http://www.bnti.ru/dbtexts/ipks/old/analmat/3/ups/horev/pi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nti.ru/dbtexts/ipks/old/analmat/3/ups/horev/pic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F2" w:rsidRDefault="006D30F2" w:rsidP="006D30F2">
      <w:pPr>
        <w:pStyle w:val="a5"/>
        <w:spacing w:line="360" w:lineRule="auto"/>
        <w:ind w:firstLine="425"/>
        <w:jc w:val="center"/>
      </w:pPr>
      <w:r w:rsidRPr="00F63CC5">
        <w:rPr>
          <w:rFonts w:cstheme="minorBidi"/>
          <w:b w:val="0"/>
          <w:bCs w:val="0"/>
          <w:iCs/>
          <w:color w:val="000000" w:themeColor="text1"/>
          <w:sz w:val="28"/>
        </w:rPr>
        <w:t xml:space="preserve">Рисунок </w:t>
      </w:r>
      <w:r w:rsidRPr="00F63CC5">
        <w:rPr>
          <w:rFonts w:cstheme="minorBidi"/>
          <w:b w:val="0"/>
          <w:bCs w:val="0"/>
          <w:iCs/>
          <w:color w:val="000000" w:themeColor="text1"/>
          <w:sz w:val="28"/>
        </w:rPr>
        <w:fldChar w:fldCharType="begin"/>
      </w:r>
      <w:r w:rsidRPr="00F63CC5">
        <w:rPr>
          <w:rFonts w:cstheme="minorBidi"/>
          <w:b w:val="0"/>
          <w:bCs w:val="0"/>
          <w:iCs/>
          <w:color w:val="000000" w:themeColor="text1"/>
          <w:sz w:val="28"/>
        </w:rPr>
        <w:instrText xml:space="preserve"> SEQ Рисунок \* ARABIC </w:instrText>
      </w:r>
      <w:r w:rsidRPr="00F63CC5">
        <w:rPr>
          <w:rFonts w:cstheme="minorBidi"/>
          <w:b w:val="0"/>
          <w:bCs w:val="0"/>
          <w:iCs/>
          <w:color w:val="000000" w:themeColor="text1"/>
          <w:sz w:val="28"/>
        </w:rPr>
        <w:fldChar w:fldCharType="separate"/>
      </w:r>
      <w:r>
        <w:rPr>
          <w:rFonts w:cstheme="minorBidi"/>
          <w:b w:val="0"/>
          <w:bCs w:val="0"/>
          <w:iCs/>
          <w:noProof/>
          <w:color w:val="000000" w:themeColor="text1"/>
          <w:sz w:val="28"/>
        </w:rPr>
        <w:t>1</w:t>
      </w:r>
      <w:r w:rsidRPr="00F63CC5">
        <w:rPr>
          <w:rFonts w:cstheme="minorBidi"/>
          <w:b w:val="0"/>
          <w:bCs w:val="0"/>
          <w:iCs/>
          <w:color w:val="000000" w:themeColor="text1"/>
          <w:sz w:val="28"/>
        </w:rPr>
        <w:fldChar w:fldCharType="end"/>
      </w:r>
      <w:r>
        <w:rPr>
          <w:rFonts w:cstheme="minorBidi"/>
          <w:b w:val="0"/>
          <w:bCs w:val="0"/>
          <w:iCs/>
          <w:color w:val="000000" w:themeColor="text1"/>
          <w:sz w:val="28"/>
        </w:rPr>
        <w:t xml:space="preserve">.1 </w:t>
      </w:r>
      <w:r w:rsidRPr="00F63CC5">
        <w:rPr>
          <w:rFonts w:cstheme="minorBidi"/>
          <w:b w:val="0"/>
          <w:bCs w:val="0"/>
          <w:iCs/>
          <w:color w:val="000000" w:themeColor="text1"/>
          <w:sz w:val="28"/>
        </w:rPr>
        <w:t>–</w:t>
      </w:r>
      <w:r>
        <w:rPr>
          <w:rFonts w:cstheme="minorBidi"/>
          <w:b w:val="0"/>
          <w:bCs w:val="0"/>
          <w:iCs/>
          <w:color w:val="000000" w:themeColor="text1"/>
          <w:sz w:val="28"/>
        </w:rPr>
        <w:t xml:space="preserve"> Т</w:t>
      </w:r>
      <w:r w:rsidRPr="00F63CC5">
        <w:rPr>
          <w:rFonts w:cstheme="minorBidi"/>
          <w:b w:val="0"/>
          <w:bCs w:val="0"/>
          <w:iCs/>
          <w:color w:val="000000" w:themeColor="text1"/>
          <w:sz w:val="28"/>
        </w:rPr>
        <w:t>ехнический канал утечки</w:t>
      </w:r>
      <w:r>
        <w:t xml:space="preserve"> </w:t>
      </w:r>
      <w:r w:rsidRPr="00F63CC5">
        <w:rPr>
          <w:rFonts w:cstheme="minorBidi"/>
          <w:b w:val="0"/>
          <w:bCs w:val="0"/>
          <w:iCs/>
          <w:color w:val="000000" w:themeColor="text1"/>
          <w:sz w:val="28"/>
        </w:rPr>
        <w:t>информации</w:t>
      </w:r>
    </w:p>
    <w:p w:rsidR="006D30F2" w:rsidRDefault="006D30F2" w:rsidP="006D30F2">
      <w:pPr>
        <w:pStyle w:val="14"/>
        <w:ind w:firstLine="425"/>
      </w:pPr>
      <w:r w:rsidRPr="004C77A9">
        <w:t>При работе технических средств возникают информативные электромагнитные излучения, а в соединительных линиях ВТСС и посторонних проводниках могут появляться наводки информационных сигналов. Поэтому, технические каналы утечки информации можно разделить на электромагнитные и электрические.</w:t>
      </w:r>
    </w:p>
    <w:p w:rsidR="006D30F2" w:rsidRDefault="006D30F2" w:rsidP="006D30F2">
      <w:pPr>
        <w:pStyle w:val="14"/>
        <w:ind w:firstLine="425"/>
      </w:pPr>
      <w:r>
        <w:t xml:space="preserve">В данной работе основное внимание уделено именно электромагнитным каналам утечки конфиденциальной информации. К которым относятся возникающие вследствие движения электронов электрические и магнитные поля </w:t>
      </w:r>
    </w:p>
    <w:p w:rsidR="006D30F2" w:rsidRDefault="006D30F2" w:rsidP="006D30F2">
      <w:pPr>
        <w:pStyle w:val="14"/>
        <w:ind w:firstLine="425"/>
      </w:pPr>
    </w:p>
    <w:p w:rsidR="006D30F2" w:rsidRDefault="006D30F2" w:rsidP="006D30F2">
      <w:pPr>
        <w:pStyle w:val="14"/>
        <w:ind w:firstLine="425"/>
      </w:pPr>
    </w:p>
    <w:p w:rsidR="006D30F2" w:rsidRDefault="006D30F2" w:rsidP="006D30F2">
      <w:pPr>
        <w:pStyle w:val="14"/>
        <w:ind w:firstLine="425"/>
      </w:pPr>
    </w:p>
    <w:p w:rsidR="006D30F2" w:rsidRPr="004C77A9" w:rsidRDefault="006D30F2" w:rsidP="006D30F2">
      <w:pPr>
        <w:pStyle w:val="14"/>
        <w:ind w:firstLine="425"/>
      </w:pPr>
    </w:p>
    <w:p w:rsidR="006D30F2" w:rsidRDefault="006D30F2" w:rsidP="006D30F2">
      <w:pPr>
        <w:pStyle w:val="1"/>
        <w:numPr>
          <w:ilvl w:val="2"/>
          <w:numId w:val="1"/>
        </w:numPr>
        <w:spacing w:before="0"/>
        <w:ind w:left="0" w:firstLine="425"/>
      </w:pPr>
      <w:r>
        <w:t xml:space="preserve"> </w:t>
      </w:r>
      <w:bookmarkStart w:id="10" w:name="_Toc11678099"/>
      <w:r>
        <w:t>Теория ПЭМИН</w:t>
      </w:r>
      <w:bookmarkEnd w:id="10"/>
    </w:p>
    <w:p w:rsidR="006D30F2" w:rsidRPr="00211E6B" w:rsidRDefault="006D30F2" w:rsidP="006D30F2"/>
    <w:p w:rsidR="006D30F2" w:rsidRPr="004C77A9" w:rsidRDefault="006D30F2" w:rsidP="006D30F2">
      <w:pPr>
        <w:pStyle w:val="14"/>
        <w:ind w:firstLine="425"/>
      </w:pPr>
      <w:r w:rsidRPr="004C77A9">
        <w:t>В электромагнитных каналах утечки информации носителем информации являются различного вида побочные электромагнитные излучения (ПЭМИ), возникающие при работе т</w:t>
      </w:r>
      <w:r>
        <w:t>ехнических средств, а именно</w:t>
      </w:r>
      <w:r w:rsidRPr="004C77A9">
        <w:t>:</w:t>
      </w:r>
    </w:p>
    <w:p w:rsidR="006D30F2" w:rsidRPr="004C77A9" w:rsidRDefault="006D30F2" w:rsidP="006D30F2">
      <w:pPr>
        <w:pStyle w:val="a3"/>
        <w:numPr>
          <w:ilvl w:val="0"/>
          <w:numId w:val="2"/>
        </w:numPr>
        <w:ind w:left="0" w:firstLine="425"/>
      </w:pPr>
      <w:r w:rsidRPr="004C77A9">
        <w:t>побочные электромагнитные излучения, возникающие вследствие протекания по элементам ТСПИ и их соединительным линиям переменного электрического тока;</w:t>
      </w:r>
    </w:p>
    <w:p w:rsidR="006D30F2" w:rsidRPr="004C77A9" w:rsidRDefault="006D30F2" w:rsidP="006D30F2">
      <w:pPr>
        <w:pStyle w:val="a3"/>
        <w:numPr>
          <w:ilvl w:val="0"/>
          <w:numId w:val="2"/>
        </w:numPr>
        <w:ind w:left="0" w:firstLine="425"/>
      </w:pPr>
      <w:r w:rsidRPr="004C77A9">
        <w:t>побочные электромагнитные излучения на частотах работы высокочастотных генераторов, входящих в состав ТСПИ;</w:t>
      </w:r>
    </w:p>
    <w:p w:rsidR="006D30F2" w:rsidRPr="004C77A9" w:rsidRDefault="006D30F2" w:rsidP="006D30F2">
      <w:pPr>
        <w:pStyle w:val="a3"/>
        <w:numPr>
          <w:ilvl w:val="0"/>
          <w:numId w:val="2"/>
        </w:numPr>
        <w:ind w:left="0" w:firstLine="425"/>
      </w:pPr>
      <w:r w:rsidRPr="004C77A9">
        <w:t>побочные электромагнитные излучения, возникающие вследствие паразитной генерации в элементах ТСПИ.</w:t>
      </w:r>
    </w:p>
    <w:p w:rsidR="006D30F2" w:rsidRPr="004C77A9" w:rsidRDefault="006D30F2" w:rsidP="006D30F2">
      <w:pPr>
        <w:pStyle w:val="14"/>
        <w:ind w:firstLine="425"/>
      </w:pPr>
      <w:r w:rsidRPr="004C77A9">
        <w:t>Побочные электромагнитные излучения возникают при следующих режимах обработки информации средствами вычислительной техники:</w:t>
      </w:r>
    </w:p>
    <w:p w:rsidR="006D30F2" w:rsidRDefault="006D30F2" w:rsidP="006D30F2">
      <w:pPr>
        <w:pStyle w:val="a3"/>
        <w:numPr>
          <w:ilvl w:val="0"/>
          <w:numId w:val="2"/>
        </w:numPr>
        <w:ind w:left="0" w:firstLine="425"/>
      </w:pPr>
      <w:r w:rsidRPr="004C77A9">
        <w:t>вывод информации на экран монитора;</w:t>
      </w:r>
    </w:p>
    <w:p w:rsidR="006D30F2" w:rsidRDefault="006D30F2" w:rsidP="006D30F2">
      <w:pPr>
        <w:pStyle w:val="a3"/>
        <w:numPr>
          <w:ilvl w:val="0"/>
          <w:numId w:val="2"/>
        </w:numPr>
        <w:ind w:left="0" w:firstLine="425"/>
      </w:pPr>
      <w:r w:rsidRPr="004C77A9">
        <w:t>ввод данных с клавиатуры;</w:t>
      </w:r>
    </w:p>
    <w:p w:rsidR="006D30F2" w:rsidRDefault="006D30F2" w:rsidP="006D30F2">
      <w:pPr>
        <w:pStyle w:val="a3"/>
        <w:numPr>
          <w:ilvl w:val="0"/>
          <w:numId w:val="2"/>
        </w:numPr>
        <w:ind w:left="0" w:firstLine="425"/>
      </w:pPr>
      <w:r w:rsidRPr="004C77A9">
        <w:t>запись информации на накопители на магнитных носителях;</w:t>
      </w:r>
    </w:p>
    <w:p w:rsidR="006D30F2" w:rsidRDefault="006D30F2" w:rsidP="006D30F2">
      <w:pPr>
        <w:pStyle w:val="a3"/>
        <w:numPr>
          <w:ilvl w:val="0"/>
          <w:numId w:val="2"/>
        </w:numPr>
        <w:ind w:left="0" w:firstLine="425"/>
      </w:pPr>
      <w:r w:rsidRPr="004C77A9">
        <w:t>чтение информации с накопителей на магнитных носителях;</w:t>
      </w:r>
    </w:p>
    <w:p w:rsidR="006D30F2" w:rsidRDefault="006D30F2" w:rsidP="006D30F2">
      <w:pPr>
        <w:pStyle w:val="a3"/>
        <w:numPr>
          <w:ilvl w:val="0"/>
          <w:numId w:val="2"/>
        </w:numPr>
        <w:ind w:left="0" w:firstLine="425"/>
      </w:pPr>
      <w:r w:rsidRPr="004C77A9">
        <w:t>передача данных в каналы связи;</w:t>
      </w:r>
    </w:p>
    <w:p w:rsidR="006D30F2" w:rsidRDefault="006D30F2" w:rsidP="006D30F2">
      <w:pPr>
        <w:pStyle w:val="a3"/>
        <w:numPr>
          <w:ilvl w:val="0"/>
          <w:numId w:val="2"/>
        </w:numPr>
        <w:ind w:left="0" w:firstLine="425"/>
      </w:pPr>
      <w:r w:rsidRPr="004C77A9">
        <w:t>вывод данных на периферийные печатные у</w:t>
      </w:r>
      <w:r>
        <w:t>стройства – принтеры, плоттеры;</w:t>
      </w:r>
    </w:p>
    <w:p w:rsidR="006D30F2" w:rsidRPr="004C77A9" w:rsidRDefault="006D30F2" w:rsidP="006D30F2">
      <w:pPr>
        <w:pStyle w:val="a3"/>
        <w:numPr>
          <w:ilvl w:val="0"/>
          <w:numId w:val="2"/>
        </w:numPr>
        <w:ind w:left="0" w:firstLine="425"/>
      </w:pPr>
      <w:r w:rsidRPr="004C77A9">
        <w:t>запись данных от сканера на магнитный носитель (ОЗУ).</w:t>
      </w:r>
    </w:p>
    <w:p w:rsidR="006D30F2" w:rsidRPr="004C77A9" w:rsidRDefault="006D30F2" w:rsidP="006D30F2">
      <w:pPr>
        <w:pStyle w:val="14"/>
        <w:ind w:firstLine="425"/>
      </w:pPr>
      <w:r w:rsidRPr="004C77A9">
        <w:t xml:space="preserve">Для перехвата побочных электромагнитных излучений ТСПИ “противником” могут использоваться как обычные средства радио-, радиотехнической разведки, так и специальные средства разведки, которые называются техническими средствами разведки побочных электромагнитных </w:t>
      </w:r>
      <w:r w:rsidRPr="004C77A9">
        <w:lastRenderedPageBreak/>
        <w:t>излучений и наводок (ТСР ПЭМИН). Как правило, полагается, что ТСР ПЭМИН располагаются за пределами контролируемой зоны объекта.</w:t>
      </w:r>
    </w:p>
    <w:p w:rsidR="006D30F2" w:rsidRPr="004C77A9" w:rsidRDefault="006D30F2" w:rsidP="006D30F2">
      <w:pPr>
        <w:pStyle w:val="14"/>
        <w:ind w:firstLine="425"/>
      </w:pPr>
      <w:r w:rsidRPr="004C77A9">
        <w:t>Пространство вокруг ТСПИ, в пределах которого напряженность электромагнитного поля превышает допустимое (нормированное) значение, называется зоной 2 (R2). Фактически зона R2 – это зона, в пределах которой возможен перехват средством разведки побочных электромагнитных излуче</w:t>
      </w:r>
      <w:r>
        <w:t>ний ТСПИ с требуемым качеством</w:t>
      </w:r>
      <w:r w:rsidRPr="004C77A9">
        <w:t>.</w:t>
      </w:r>
    </w:p>
    <w:p w:rsidR="006D30F2" w:rsidRPr="004C77A9" w:rsidRDefault="006D30F2" w:rsidP="006D30F2">
      <w:pPr>
        <w:pStyle w:val="14"/>
        <w:ind w:firstLine="425"/>
      </w:pPr>
      <w:r w:rsidRPr="004C77A9">
        <w:t>Зона 2 для каждого ТСПИ определяется инструментально-расчетным методом при проведении специальных исследований технических средств на ПЭМИН и указывается в предписании на их эксплуатацию или сертификате соответствия.</w:t>
      </w:r>
    </w:p>
    <w:p w:rsidR="006D30F2" w:rsidRPr="004C77A9" w:rsidRDefault="006D30F2" w:rsidP="006D30F2">
      <w:pPr>
        <w:pStyle w:val="14"/>
        <w:ind w:firstLine="425"/>
      </w:pPr>
      <w:r w:rsidRPr="004C77A9">
        <w:t>Причинами возникновения электрических каналов уте</w:t>
      </w:r>
      <w:r>
        <w:t>чки информации могут быть</w:t>
      </w:r>
      <w:r w:rsidRPr="004C77A9">
        <w:t>:</w:t>
      </w:r>
    </w:p>
    <w:p w:rsidR="006D30F2" w:rsidRDefault="006D30F2" w:rsidP="006D30F2">
      <w:pPr>
        <w:pStyle w:val="a3"/>
        <w:numPr>
          <w:ilvl w:val="0"/>
          <w:numId w:val="2"/>
        </w:numPr>
        <w:ind w:left="0" w:firstLine="425"/>
      </w:pPr>
      <w:r w:rsidRPr="004C77A9">
        <w:t>гальванические связи соединительных линий ТСПИ с линиями ВТСС и посторонними проводниками;</w:t>
      </w:r>
    </w:p>
    <w:p w:rsidR="006D30F2" w:rsidRDefault="006D30F2" w:rsidP="006D30F2">
      <w:pPr>
        <w:pStyle w:val="a3"/>
        <w:numPr>
          <w:ilvl w:val="0"/>
          <w:numId w:val="2"/>
        </w:numPr>
        <w:ind w:left="0" w:firstLine="425"/>
      </w:pPr>
      <w:r w:rsidRPr="004C77A9">
        <w:t>наводки побочных электромагнитных излучений ТСПИ на соединительные линии ВТСС и посторонние проводники; </w:t>
      </w:r>
    </w:p>
    <w:p w:rsidR="006D30F2" w:rsidRDefault="006D30F2" w:rsidP="006D30F2">
      <w:pPr>
        <w:pStyle w:val="a3"/>
        <w:numPr>
          <w:ilvl w:val="0"/>
          <w:numId w:val="2"/>
        </w:numPr>
        <w:ind w:left="0" w:firstLine="425"/>
      </w:pPr>
      <w:r w:rsidRPr="004C77A9">
        <w:t>наводки побочных электромагнитных излучений ТСПИ на цепи электропитания и заземления ТСПИ;</w:t>
      </w:r>
    </w:p>
    <w:p w:rsidR="006D30F2" w:rsidRDefault="006D30F2" w:rsidP="006D30F2">
      <w:pPr>
        <w:pStyle w:val="a3"/>
        <w:numPr>
          <w:ilvl w:val="0"/>
          <w:numId w:val="2"/>
        </w:numPr>
        <w:ind w:left="0" w:firstLine="425"/>
      </w:pPr>
      <w:r w:rsidRPr="004C77A9">
        <w:t>“просачивание” информационных сигналов в цепи электропитания и заземления ТСПИ;</w:t>
      </w:r>
    </w:p>
    <w:p w:rsidR="006D30F2" w:rsidRPr="004C77A9" w:rsidRDefault="006D30F2" w:rsidP="006D30F2">
      <w:pPr>
        <w:pStyle w:val="a3"/>
        <w:numPr>
          <w:ilvl w:val="0"/>
          <w:numId w:val="2"/>
        </w:numPr>
        <w:ind w:left="0" w:firstLine="425"/>
      </w:pPr>
      <w:r w:rsidRPr="004C77A9">
        <w:t>“просачивание” информационных сигналов в цепи заземления ТСПИ.</w:t>
      </w:r>
    </w:p>
    <w:p w:rsidR="006D30F2" w:rsidRPr="004C77A9" w:rsidRDefault="006D30F2" w:rsidP="006D30F2">
      <w:pPr>
        <w:pStyle w:val="14"/>
        <w:ind w:firstLine="425"/>
      </w:pPr>
      <w:r w:rsidRPr="004C77A9">
        <w:t>Наводки (токи и напряжения) в токопроводящих элементах обусловлены электромагнитным излучением ТСПИ (в том числе, и их соединительными линиями), а также емкостными и индуктивными связями между ними. Соединительные линии ВТСС или посторонние проводники являются как бы случайными антеннами, при гальваническом подключении к которым средства разведки ПЭМИН возможен перехват наведенных</w:t>
      </w:r>
      <w:r>
        <w:t xml:space="preserve"> в них информационных сигналов</w:t>
      </w:r>
      <w:r w:rsidRPr="004C77A9">
        <w:t>.</w:t>
      </w:r>
    </w:p>
    <w:p w:rsidR="006D30F2" w:rsidRDefault="006D30F2" w:rsidP="006D30F2">
      <w:pPr>
        <w:pStyle w:val="14"/>
        <w:ind w:firstLine="425"/>
      </w:pPr>
      <w:r w:rsidRPr="004C77A9">
        <w:lastRenderedPageBreak/>
        <w:t xml:space="preserve">При распространении по случайной антенне наведенный информационный сигнал затухает. Коэффициент затухания информационного сигнала можно рассчитать, зная расстояние от места возможного подключения ТСР к случайной антенне до объекта ТСПИ и частоты побочных электромагнитных излучений. </w:t>
      </w:r>
    </w:p>
    <w:p w:rsidR="006D30F2" w:rsidRPr="008261D6" w:rsidRDefault="006D30F2" w:rsidP="006D30F2">
      <w:pPr>
        <w:pStyle w:val="14"/>
        <w:ind w:firstLine="425"/>
      </w:pPr>
    </w:p>
    <w:p w:rsidR="006D30F2" w:rsidRDefault="006D30F2" w:rsidP="006D30F2">
      <w:pPr>
        <w:pStyle w:val="1"/>
        <w:numPr>
          <w:ilvl w:val="2"/>
          <w:numId w:val="1"/>
        </w:numPr>
        <w:spacing w:before="0"/>
        <w:ind w:left="0" w:firstLine="425"/>
      </w:pPr>
      <w:bookmarkStart w:id="11" w:name="_Toc11678100"/>
      <w:r>
        <w:t xml:space="preserve">Сущность утечки конфиденциальной информации по каналу </w:t>
      </w:r>
      <w:r w:rsidRPr="006F6904">
        <w:rPr>
          <w:color w:val="FFFFFF" w:themeColor="background1"/>
        </w:rPr>
        <w:t>__________</w:t>
      </w:r>
      <w:r>
        <w:t>ПЭМИН</w:t>
      </w:r>
      <w:bookmarkEnd w:id="11"/>
    </w:p>
    <w:p w:rsidR="006D30F2" w:rsidRPr="00F63CC5" w:rsidRDefault="006D30F2" w:rsidP="006D30F2">
      <w:pPr>
        <w:ind w:firstLine="425"/>
      </w:pPr>
    </w:p>
    <w:p w:rsidR="006D30F2" w:rsidRDefault="006D30F2" w:rsidP="006D30F2">
      <w:pPr>
        <w:pStyle w:val="14"/>
        <w:ind w:firstLine="425"/>
      </w:pPr>
      <w:r>
        <w:t>В</w:t>
      </w:r>
      <w:r w:rsidRPr="00E26ACD">
        <w:t xml:space="preserve"> области технической защиты информации перехват ПЭМИН потенциальным злоумышленником представляется как перехват одного двоичного разряда. При этом считается, что ему доступна ПЭМИН в ди</w:t>
      </w:r>
      <w:r>
        <w:t>апазоне частот от 10 Гц до 1000 МГц, что обуславливается частотой работы компьютера и возможностями технически</w:t>
      </w:r>
      <w:bookmarkStart w:id="12" w:name="_GoBack"/>
      <w:bookmarkEnd w:id="12"/>
      <w:r>
        <w:t>х средств разведки, доступных потенциальному нарушителю, учитывая его возможности в данной области. Потенциал возможностей нарушителя определяется уровнем секретности информации – конфиденциальная информация, не составляющая государственную тайну.</w:t>
      </w:r>
    </w:p>
    <w:p w:rsidR="006D30F2" w:rsidRDefault="006D30F2" w:rsidP="006D30F2">
      <w:pPr>
        <w:pStyle w:val="14"/>
        <w:ind w:firstLine="425"/>
      </w:pPr>
      <w:r>
        <w:t>П</w:t>
      </w:r>
      <w:r w:rsidRPr="00E26ACD">
        <w:t>ри измерениях ПЭМИН оперируют понятием "информативность" сигнала. Информативными сигналами в общем случае считаются сигналы, амплитуда которых претерпевает изменения в зависимости от передаваемой информации. То есть если сигнал цифровой – это переход от "0" к "1" и от "1" к "0". Допустим, по цепи пересылается последовательность битов в один байт – например, 11111111, с некоторой </w:t>
      </w:r>
      <w:bookmarkStart w:id="13" w:name="keyword24"/>
      <w:bookmarkEnd w:id="13"/>
      <w:r w:rsidRPr="00E26ACD">
        <w:t>тактовой частотой и длительностью импульса. Метод кодирования – последовательный импульсный код, то есть единица кодируется наличием импульса, ноль - отсутствием. Пауза между импульсами равна длительности импульса.</w:t>
      </w:r>
    </w:p>
    <w:p w:rsidR="00A60E19" w:rsidRDefault="00A60E19"/>
    <w:sectPr w:rsidR="00A60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95DDE"/>
    <w:multiLevelType w:val="hybridMultilevel"/>
    <w:tmpl w:val="4B569518"/>
    <w:lvl w:ilvl="0" w:tplc="514C4C96">
      <w:start w:val="1"/>
      <w:numFmt w:val="bullet"/>
      <w:lvlText w:val="‒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4A6F4AB3"/>
    <w:multiLevelType w:val="multilevel"/>
    <w:tmpl w:val="6A86F1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10"/>
    <w:rsid w:val="00115C10"/>
    <w:rsid w:val="006D30F2"/>
    <w:rsid w:val="00A6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3FB7A-0764-4475-9B6F-56BB1C3D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0F2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D30F2"/>
    <w:pPr>
      <w:keepNext/>
      <w:keepLines/>
      <w:spacing w:before="480" w:after="0"/>
      <w:outlineLvl w:val="0"/>
    </w:pPr>
    <w:rPr>
      <w:rFonts w:eastAsiaTheme="majorEastAsia" w:cstheme="majorBidi"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6D30F2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0F2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D30F2"/>
    <w:rPr>
      <w:rFonts w:ascii="Times New Roman" w:eastAsiaTheme="majorEastAsia" w:hAnsi="Times New Roman" w:cstheme="majorBidi"/>
      <w:bCs/>
      <w:sz w:val="28"/>
      <w:szCs w:val="26"/>
    </w:rPr>
  </w:style>
  <w:style w:type="paragraph" w:customStyle="1" w:styleId="14">
    <w:name w:val="Диплом 14пт текст"/>
    <w:link w:val="140"/>
    <w:qFormat/>
    <w:rsid w:val="006D30F2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character" w:customStyle="1" w:styleId="140">
    <w:name w:val="Диплом 14пт текст Знак"/>
    <w:basedOn w:val="a0"/>
    <w:link w:val="14"/>
    <w:rsid w:val="006D30F2"/>
    <w:rPr>
      <w:rFonts w:ascii="Times New Roman" w:hAnsi="Times New Roman"/>
      <w:sz w:val="28"/>
      <w:lang w:eastAsia="ru-RU"/>
    </w:rPr>
  </w:style>
  <w:style w:type="paragraph" w:customStyle="1" w:styleId="a3">
    <w:name w:val="Маркеры"/>
    <w:basedOn w:val="14"/>
    <w:link w:val="a4"/>
    <w:qFormat/>
    <w:rsid w:val="006D30F2"/>
    <w:pPr>
      <w:ind w:firstLine="0"/>
    </w:pPr>
  </w:style>
  <w:style w:type="character" w:customStyle="1" w:styleId="a4">
    <w:name w:val="Маркеры Знак"/>
    <w:basedOn w:val="140"/>
    <w:link w:val="a3"/>
    <w:rsid w:val="006D30F2"/>
    <w:rPr>
      <w:rFonts w:ascii="Times New Roman" w:hAnsi="Times New Roman"/>
      <w:sz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6D30F2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4%D0%BE%D1%80%D0%BC%D0%B0%D1%86%D0%B8%D1%8F" TargetMode="External"/><Relationship Id="rId5" Type="http://schemas.openxmlformats.org/officeDocument/2006/relationships/hyperlink" Target="http://www.consultant.ru/document/cons_doc_LAW_61798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1807</Words>
  <Characters>10300</Characters>
  <Application>Microsoft Office Word</Application>
  <DocSecurity>0</DocSecurity>
  <Lines>85</Lines>
  <Paragraphs>24</Paragraphs>
  <ScaleCrop>false</ScaleCrop>
  <Company>SPecialiST RePack</Company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ivbarabanov</dc:creator>
  <cp:keywords/>
  <dc:description/>
  <cp:lastModifiedBy>ivbarabanov</cp:lastModifiedBy>
  <cp:revision>2</cp:revision>
  <dcterms:created xsi:type="dcterms:W3CDTF">2019-06-29T01:43:00Z</dcterms:created>
  <dcterms:modified xsi:type="dcterms:W3CDTF">2019-06-29T01:48:00Z</dcterms:modified>
</cp:coreProperties>
</file>