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Verdana" w:cs="Verdana" w:eastAsia="Verdana" w:hAnsi="Verdana"/>
          <w:color w:val="333333"/>
          <w:shd w:fill="fafafa" w:val="clear"/>
          <w:rtl w:val="0"/>
        </w:rPr>
        <w:t xml:space="preserve">Порт. Корабли заходят в порт для разгрузки/загрузки контейнеров. Число контейнеров, находящихся в текущий момент в порту и на корабле, должно быть неотрицательным и превышающим заданную грузоподъемность судна и вместимость порта. В порту работает несколько причалов. У одного причала может стоять один корабль. Корабль может загружаться у причала, разгружаться или выполнять оба действия.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F62BFC4E-1631-4809-B7F1-5E6A4254E76E}"/>
</file>

<file path=customXml/itemProps2.xml><?xml version="1.0" encoding="utf-8"?>
<ds:datastoreItem xmlns:ds="http://schemas.openxmlformats.org/officeDocument/2006/customXml" ds:itemID="{B61186D9-2AF8-4CB6-A2C6-237843D76932}"/>
</file>

<file path=customXml/itemProps3.xml><?xml version="1.0" encoding="utf-8"?>
<ds:datastoreItem xmlns:ds="http://schemas.openxmlformats.org/officeDocument/2006/customXml" ds:itemID="{A21ADD74-D0F8-49E2-8316-E9E5C8120F8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