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sz w:val="20"/>
          <w:szCs w:val="20"/>
        </w:rPr>
        <w:t xml:space="preserve"/>
      </w:r>
    </w:p>
    <w:p>
      <w:pPr>
        <w:spacing w:after="60" w:before="0"/>
        <w:jc w:val="center"/>
      </w:pPr>
      <w:r>
        <w:rPr>
          <w:rFonts w:ascii="Arial" w:cs="Arial" w:eastAsia="Arial" w:hAnsi="Arial"/>
          <w:b/>
          <w:bCs/>
          <w:color w:val="1A3A6B"/>
          <w:sz w:val="80"/>
          <w:szCs w:val="80"/>
        </w:rPr>
        <w:t xml:space="preserve">TaktOS</w:t>
      </w:r>
    </w:p>
    <w:p>
      <w:pPr>
        <w:spacing w:after="80" w:before="0"/>
        <w:jc w:val="center"/>
      </w:pPr>
      <w:r>
        <w:rPr>
          <w:rFonts w:ascii="Arial" w:cs="Arial" w:eastAsia="Arial" w:hAnsi="Arial"/>
          <w:color w:val="2E5A9C"/>
          <w:sz w:val="32"/>
          <w:szCs w:val="32"/>
        </w:rPr>
        <w:t xml:space="preserve">RTOS Performance Benchmark Report</w:t>
      </w:r>
    </w:p>
    <w:p>
      <w:pPr>
        <w:spacing w:after="60" w:before="0"/>
        <w:jc w:val="center"/>
      </w:pPr>
      <w:r>
        <w:rPr>
          <w:rFonts w:ascii="Arial" w:cs="Arial" w:eastAsia="Arial" w:hAnsi="Arial"/>
          <w:color w:val="555555"/>
          <w:sz w:val="22"/>
          <w:szCs w:val="22"/>
        </w:rPr>
        <w:t xml:space="preserve">ARM Cortex-M4F  ·  I-SYST BLYST Nano (nRF52832)  ·  64 MHz  ·  ThreadMetric Suite</w:t>
      </w:r>
    </w:p>
    <w:p>
      <w:pPr>
        <w:spacing w:after="400" w:before="0"/>
        <w:jc w:val="center"/>
      </w:pPr>
      <w:r>
        <w:rPr>
          <w:rFonts w:ascii="Arial" w:cs="Arial" w:eastAsia="Arial" w:hAnsi="Arial"/>
          <w:color w:val="888888"/>
          <w:sz w:val="20"/>
          <w:szCs w:val="20"/>
        </w:rPr>
        <w:t xml:space="preserve">April 2026  ·  I-SYST inc.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1A3A6B" w:sz="6"/>
              <w:left w:val="single" w:color="1A3A6B" w:sz="6"/>
              <w:bottom w:val="single" w:color="1A3A6B" w:sz="6"/>
              <w:right w:val="single" w:color="1A3A6B" w:sz="6"/>
            </w:tcBorders>
            <w:shd w:fill="EAF1FB" w:val="clear"/>
            <w:tcMar>
              <w:top w:type="dxa" w:w="140"/>
              <w:left w:type="dxa" w:w="180"/>
              <w:bottom w:type="dxa" w:w="140"/>
              <w:right w:type="dxa" w:w="180"/>
            </w:tcMar>
          </w:tcPr>
          <w:p>
            <w:pPr>
              <w:spacing w:after="80" w:before="60"/>
            </w:pPr>
            <w:r>
              <w:rPr>
                <w:rFonts w:ascii="Arial" w:cs="Arial" w:eastAsia="Arial" w:hAnsi="Arial"/>
                <w:b/>
                <w:bCs/>
                <w:color w:val="1A3A6B"/>
                <w:sz w:val="40"/>
                <w:szCs w:val="40"/>
              </w:rPr>
              <w:t xml:space="preserve">2.92×</w:t>
            </w:r>
            <w:r>
              <w:rPr>
                <w:rFonts w:ascii="Arial" w:cs="Arial" w:eastAsia="Arial" w:hAnsi="Arial"/>
                <w:color w:val="555555"/>
                <w:sz w:val="22"/>
                <w:szCs w:val="22"/>
              </w:rPr>
              <w:t xml:space="preserve"> faster</w:t>
            </w:r>
          </w:p>
          <w:p>
            <w:pPr>
              <w:spacing w:after="40" w:before="0"/>
            </w:pPr>
            <w:r>
              <w:rPr>
                <w:rFonts w:ascii="Arial" w:cs="Arial" w:eastAsia="Arial" w:hAnsi="Arial"/>
                <w:sz w:val="20"/>
                <w:szCs w:val="20"/>
              </w:rPr>
              <w:t xml:space="preserve">vs FreeRTOS · geometric mean across TM2/3/6/7</w:t>
            </w:r>
          </w:p>
          <w:p>
            <w:pPr>
              <w:spacing w:after="80" w:before="60"/>
            </w:pPr>
            <w:r>
              <w:rPr>
                <w:rFonts w:ascii="Arial" w:cs="Arial" w:eastAsia="Arial" w:hAnsi="Arial"/>
                <w:b/>
                <w:bCs/>
                <w:color w:val="2E5A9C"/>
                <w:sz w:val="32"/>
                <w:szCs w:val="32"/>
              </w:rPr>
              <w:t xml:space="preserve">1.30×</w:t>
            </w:r>
            <w:r>
              <w:rPr>
                <w:rFonts w:ascii="Arial" w:cs="Arial" w:eastAsia="Arial" w:hAnsi="Arial"/>
                <w:color w:val="555555"/>
                <w:sz w:val="20"/>
                <w:szCs w:val="20"/>
              </w:rPr>
              <w:t xml:space="preserve"> faster vs ThreadX</w:t>
            </w:r>
          </w:p>
        </w:tc>
        <w:tc>
          <w:tcPr>
            <w:tcBorders>
              <w:top w:val="single" w:color="1A3A6B" w:sz="6"/>
              <w:left w:val="single" w:color="1A3A6B" w:sz="6"/>
              <w:bottom w:val="single" w:color="1A3A6B" w:sz="6"/>
              <w:right w:val="single" w:color="1A3A6B" w:sz="6"/>
            </w:tcBorders>
            <w:shd w:fill="EAF1FB" w:val="clear"/>
            <w:tcMar>
              <w:top w:type="dxa" w:w="140"/>
              <w:left w:type="dxa" w:w="180"/>
              <w:bottom w:type="dxa" w:w="140"/>
              <w:right w:type="dxa" w:w="180"/>
            </w:tcMar>
          </w:tcPr>
          <w:p>
            <w:pPr>
              <w:spacing w:after="80" w:before="60"/>
            </w:pPr>
            <w:r>
              <w:rPr>
                <w:rFonts w:ascii="Arial" w:cs="Arial" w:eastAsia="Arial" w:hAnsi="Arial"/>
                <w:b/>
                <w:bCs/>
                <w:color w:val="0F6E56"/>
                <w:sz w:val="40"/>
                <w:szCs w:val="40"/>
              </w:rPr>
              <w:t xml:space="preserve">5.00×</w:t>
            </w:r>
            <w:r>
              <w:rPr>
                <w:rFonts w:ascii="Arial" w:cs="Arial" w:eastAsia="Arial" w:hAnsi="Arial"/>
                <w:color w:val="555555"/>
                <w:sz w:val="22"/>
                <w:szCs w:val="22"/>
              </w:rPr>
              <w:t xml:space="preserve"> on TM7</w:t>
            </w:r>
          </w:p>
          <w:p>
            <w:pPr>
              <w:spacing w:after="40" w:before="0"/>
            </w:pPr>
            <w:r>
              <w:rPr>
                <w:rFonts w:ascii="Arial" w:cs="Arial" w:eastAsia="Arial" w:hAnsi="Arial"/>
                <w:sz w:val="20"/>
                <w:szCs w:val="20"/>
              </w:rPr>
              <w:t xml:space="preserve">Semaphore throughput vs FreeRTOS</w:t>
            </w:r>
          </w:p>
          <w:p>
            <w:pPr>
              <w:spacing w:after="80" w:before="60"/>
            </w:pPr>
            <w:r>
              <w:rPr>
                <w:rFonts w:ascii="Arial" w:cs="Arial" w:eastAsia="Arial" w:hAnsi="Arial"/>
                <w:b/>
                <w:bCs/>
                <w:color w:val="1A3A6B"/>
                <w:sz w:val="20"/>
                <w:szCs w:val="20"/>
              </w:rPr>
              <w:t xml:space="preserve">All measurements direct</w:t>
            </w:r>
            <w:r>
              <w:rPr>
                <w:rFonts w:ascii="Arial" w:cs="Arial" w:eastAsia="Arial" w:hAnsi="Arial"/>
                <w:sz w:val="20"/>
                <w:szCs w:val="20"/>
              </w:rPr>
              <w:t xml:space="preserve"> — same board, same compiler, same flags</w:t>
            </w:r>
          </w:p>
        </w:tc>
      </w:tr>
    </w:tbl>
    <w:p>
      <w:pPr>
        <w:spacing w:after="0" w:before="200"/>
      </w:pPr>
      <w:r>
        <w:rPr>
          <w:rFonts w:ascii="Arial" w:cs="Arial" w:eastAsia="Arial" w:hAnsi="Arial"/>
          <w:sz w:val="20"/>
          <w:szCs w:val="20"/>
        </w:rPr>
        <w:t xml:space="preserve"/>
      </w:r>
    </w:p>
    <w:p>
      <w:r>
        <w:br w:type="page"/>
      </w:r>
    </w:p>
    <w:p>
      <w:pPr>
        <w:pStyle w:val="Heading1"/>
        <w:spacing w:after="120" w:before="360"/>
      </w:pPr>
      <w:r>
        <w:rPr>
          <w:rFonts w:ascii="Arial" w:cs="Arial" w:eastAsia="Arial" w:hAnsi="Arial"/>
          <w:b/>
          <w:bCs/>
          <w:color w:val="1A3A6B"/>
          <w:sz w:val="22"/>
          <w:szCs w:val="22"/>
        </w:rPr>
        <w:t xml:space="preserve">1. Executive Summary</w:t>
      </w:r>
    </w:p>
    <w:p>
      <w:pPr>
        <w:spacing w:after="80" w:before="60"/>
      </w:pPr>
      <w:r>
        <w:rPr>
          <w:rFonts w:ascii="Arial" w:cs="Arial" w:eastAsia="Arial" w:hAnsi="Arial"/>
          <w:sz w:val="20"/>
          <w:szCs w:val="20"/>
        </w:rPr>
        <w:t xml:space="preserve">TaktOS is a bare-metal deterministic RTOS for ARM Cortex-M and RISC-V RV32, designed for safety-critical applications targeting IEC 61508 SIL 2 and ISO 26262 ASIL D certification. This report presents directly measured ThreadMetric benchmark results comparing TaktOS, FreeRTOS, and Eclipse ThreadX on identical hardware with identical build tooling.</w:t>
      </w:r>
    </w:p>
    <w:p>
      <w:pPr>
        <w:spacing w:after="0" w:before="6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All three RTOSes were measured directly</w:t>
      </w:r>
      <w:r>
        <w:rPr>
          <w:rFonts w:ascii="Arial" w:cs="Arial" w:eastAsia="Arial" w:hAnsi="Arial"/>
          <w:sz w:val="20"/>
          <w:szCs w:val="20"/>
        </w:rPr>
        <w:t xml:space="preserve"> on the same I-SYST BLYST Nano module (IMM-NRF52832-NANO), compiled with arm-none-eabi-gcc 15.2.1 at -Os, running at 64 MHz with a 1 kHz SysTick. No cross-board normalization, no estimates, no derived figures.</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400"/>
        <w:gridCol w:w="130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Test</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TaktOS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FreeRTOS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ThreadX</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vs FreeRTOS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vs ThreadX</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TM1  Basic Processing (calibration)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143,765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143,765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124,641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0.94×</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TM2  Cooperative Scheduling</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13,823,020</w:t>
            </w:r>
          </w:p>
          <w:p>
            <w:pPr>
              <w:jc w:val="right"/>
            </w:pPr>
            <w:r>
              <w:rPr>
                <w:rFonts w:ascii="Arial" w:cs="Arial" w:eastAsia="Arial" w:hAnsi="Arial"/>
                <w:color w:val="0F6E56"/>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8,369,345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10,497,840</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1.99×</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1.61×</w:t>
            </w:r>
          </w:p>
        </w:tc>
      </w:tr>
      <w:tr>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TM3  Preemptive Scheduling</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4,793,897</w:t>
            </w:r>
          </w:p>
          <w:p>
            <w:pPr>
              <w:jc w:val="right"/>
            </w:pPr>
            <w:r>
              <w:rPr>
                <w:rFonts w:ascii="Arial" w:cs="Arial" w:eastAsia="Arial" w:hAnsi="Arial"/>
                <w:color w:val="0F6E56"/>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2,380,390 ✗</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4,354,376</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2.14×</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1.16×</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TM6  Message Processing</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8,952,189</w:t>
            </w:r>
          </w:p>
          <w:p>
            <w:pPr>
              <w:jc w:val="right"/>
            </w:pPr>
            <w:r>
              <w:rPr>
                <w:rFonts w:ascii="Arial" w:cs="Arial" w:eastAsia="Arial" w:hAnsi="Arial"/>
                <w:color w:val="0F6E56"/>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2,158,116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6,564,371</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3.39×</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1.13×</w:t>
            </w:r>
          </w:p>
        </w:tc>
      </w:tr>
      <w:tr>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TM7  Synchronization</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20,381,897</w:t>
            </w:r>
          </w:p>
          <w:p>
            <w:pPr>
              <w:jc w:val="right"/>
            </w:pPr>
            <w:r>
              <w:rPr>
                <w:rFonts w:ascii="Arial" w:cs="Arial" w:eastAsia="Arial" w:hAnsi="Arial"/>
                <w:color w:val="0F6E56"/>
                <w:sz w:val="16"/>
                <w:szCs w:val="16"/>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3,910,892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14,632,422</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5.00×</w:t>
            </w:r>
          </w:p>
        </w:tc>
        <w:tc>
          <w:tcPr>
            <w:tcBorders>
              <w:top w:val="single" w:color="CCCCCC" w:sz="1"/>
              <w:left w:val="single" w:color="CCCCCC" w:sz="1"/>
              <w:bottom w:val="single" w:color="CCCCCC" w:sz="1"/>
              <w:right w:val="single" w:color="CCCCCC" w:sz="1"/>
            </w:tcBorders>
            <w:shd w:fill="EAF4F1"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
            </w:r>
          </w:p>
          <w:p>
            <w:pPr>
              <w:jc w:val="right"/>
            </w:pPr>
            <w:r>
              <w:rPr>
                <w:rFonts w:ascii="Arial" w:cs="Arial" w:eastAsia="Arial" w:hAnsi="Arial"/>
                <w:color w:val="0F6E56"/>
                <w:sz w:val="16"/>
                <w:szCs w:val="16"/>
              </w:rPr>
              <w:t xml:space="preserve">1.36×</w:t>
            </w:r>
          </w:p>
        </w:tc>
      </w:tr>
      <w:tr>
        <w:tc>
          <w:tcPr>
            <w:tcBorders>
              <w:top w:val="single" w:color="B0CDE8" w:sz="1"/>
              <w:left w:val="single" w:color="B0CDE8" w:sz="1"/>
              <w:bottom w:val="single" w:color="B0CDE8" w:sz="1"/>
              <w:right w:val="single" w:color="B0CDE8" w:sz="1"/>
            </w:tcBorders>
            <w:shd w:fill="D6E4F7" w:val="clear"/>
            <w:tcMar>
              <w:top w:type="dxa" w:w="90"/>
              <w:left w:type="dxa" w:w="110"/>
              <w:bottom w:type="dxa" w:w="90"/>
              <w:right w:type="dxa" w:w="110"/>
            </w:tcMar>
          </w:tcPr>
          <w:p>
            <w:pPr>
              <w:spacing w:after="80" w:before="60"/>
            </w:pPr>
            <w:r>
              <w:rPr>
                <w:rFonts w:ascii="Arial" w:cs="Arial" w:eastAsia="Arial" w:hAnsi="Arial"/>
                <w:b/>
                <w:bCs/>
                <w:color w:val="1A3A6B"/>
                <w:sz w:val="20"/>
                <w:szCs w:val="20"/>
              </w:rPr>
              <w:t xml:space="preserve">Geometric mean  (TM2–TM7)</w:t>
            </w:r>
          </w:p>
        </w:tc>
        <w:tc>
          <w:tcPr>
            <w:gridSpan w:val="2"/>
            <w:tcBorders>
              <w:top w:val="single" w:color="B0CDE8" w:sz="1"/>
              <w:left w:val="single" w:color="B0CDE8" w:sz="1"/>
              <w:bottom w:val="single" w:color="B0CDE8" w:sz="1"/>
              <w:right w:val="single" w:color="B0CDE8" w:sz="1"/>
            </w:tcBorders>
            <w:shd w:fill="D6E4F7" w:val="clear"/>
            <w:tcMar>
              <w:top w:type="dxa" w:w="90"/>
              <w:left w:type="dxa" w:w="110"/>
              <w:bottom w:type="dxa" w:w="90"/>
              <w:right w:type="dxa" w:w="110"/>
            </w:tcMar>
          </w:tcPr>
          <w:p>
            <w:pPr>
              <w:spacing w:after="80" w:before="60"/>
              <w:jc w:val="center"/>
            </w:pPr>
            <w:r>
              <w:rPr>
                <w:rFonts w:ascii="Arial" w:cs="Arial" w:eastAsia="Arial" w:hAnsi="Arial"/>
                <w:sz w:val="20"/>
                <w:szCs w:val="20"/>
              </w:rPr>
              <w:t xml:space="preserve"/>
            </w:r>
          </w:p>
        </w:tc>
        <w:tc>
          <w:tcPr>
            <w:tcBorders>
              <w:top w:val="single" w:color="B0CDE8" w:sz="1"/>
              <w:left w:val="single" w:color="B0CDE8" w:sz="1"/>
              <w:bottom w:val="single" w:color="B0CDE8" w:sz="1"/>
              <w:right w:val="single" w:color="B0CDE8" w:sz="1"/>
            </w:tcBorders>
            <w:shd w:fill="D6E4F7" w:val="clear"/>
            <w:tcMar>
              <w:top w:type="dxa" w:w="90"/>
              <w:left w:type="dxa" w:w="110"/>
              <w:bottom w:type="dxa" w:w="90"/>
              <w:right w:type="dxa" w:w="110"/>
            </w:tcMar>
          </w:tcPr>
          <w:p>
            <w:pPr>
              <w:spacing w:after="80" w:before="60"/>
              <w:jc w:val="center"/>
            </w:pPr>
            <w:r>
              <w:rPr>
                <w:rFonts w:ascii="Arial" w:cs="Arial" w:eastAsia="Arial" w:hAnsi="Arial"/>
                <w:sz w:val="20"/>
                <w:szCs w:val="20"/>
              </w:rPr>
              <w:t xml:space="preserve"/>
            </w:r>
          </w:p>
        </w:tc>
        <w:tc>
          <w:tcPr>
            <w:tcBorders>
              <w:top w:val="single" w:color="B0CDE8" w:sz="1"/>
              <w:left w:val="single" w:color="B0CDE8" w:sz="1"/>
              <w:bottom w:val="single" w:color="B0CDE8" w:sz="1"/>
              <w:right w:val="single" w:color="B0CDE8" w:sz="1"/>
            </w:tcBorders>
            <w:shd w:fill="D6E4F7" w:val="clear"/>
            <w:tcMar>
              <w:top w:type="dxa" w:w="90"/>
              <w:left w:type="dxa" w:w="110"/>
              <w:bottom w:type="dxa" w:w="90"/>
              <w:right w:type="dxa" w:w="110"/>
            </w:tcMar>
          </w:tcPr>
          <w:p>
            <w:pPr>
              <w:jc w:val="right"/>
            </w:pPr>
            <w:r>
              <w:rPr>
                <w:rFonts w:ascii="Arial" w:cs="Arial" w:eastAsia="Arial" w:hAnsi="Arial"/>
                <w:b/>
                <w:bCs/>
                <w:color w:val="1A3A6B"/>
                <w:sz w:val="22"/>
                <w:szCs w:val="22"/>
              </w:rPr>
              <w:t xml:space="preserve">2.92×</w:t>
            </w:r>
          </w:p>
        </w:tc>
        <w:tc>
          <w:tcPr>
            <w:tcBorders>
              <w:top w:val="single" w:color="B0CDE8" w:sz="1"/>
              <w:left w:val="single" w:color="B0CDE8" w:sz="1"/>
              <w:bottom w:val="single" w:color="B0CDE8" w:sz="1"/>
              <w:right w:val="single" w:color="B0CDE8" w:sz="1"/>
            </w:tcBorders>
            <w:shd w:fill="D6E4F7" w:val="clear"/>
            <w:tcMar>
              <w:top w:type="dxa" w:w="90"/>
              <w:left w:type="dxa" w:w="110"/>
              <w:bottom w:type="dxa" w:w="90"/>
              <w:right w:type="dxa" w:w="110"/>
            </w:tcMar>
          </w:tcPr>
          <w:p>
            <w:pPr>
              <w:jc w:val="right"/>
            </w:pPr>
            <w:r>
              <w:rPr>
                <w:rFonts w:ascii="Arial" w:cs="Arial" w:eastAsia="Arial" w:hAnsi="Arial"/>
                <w:b/>
                <w:bCs/>
                <w:color w:val="1A3A6B"/>
                <w:sz w:val="22"/>
                <w:szCs w:val="22"/>
              </w:rPr>
              <w:t xml:space="preserve">1.30×</w:t>
            </w:r>
          </w:p>
        </w:tc>
      </w:tr>
    </w:tbl>
    <w:p>
      <w:pPr>
        <w:spacing w:after="0" w:before="80"/>
      </w:pPr>
      <w:r>
        <w:rPr>
          <w:rFonts w:ascii="Arial" w:cs="Arial" w:eastAsia="Arial" w:hAnsi="Arial"/>
          <w:sz w:val="20"/>
          <w:szCs w:val="20"/>
        </w:rPr>
        <w:t xml:space="preserve"/>
      </w:r>
    </w:p>
    <w:p>
      <w:pPr>
        <w:spacing w:after="80" w:before="60"/>
      </w:pPr>
      <w:r>
        <w:rPr>
          <w:rFonts w:ascii="Arial" w:cs="Arial" w:eastAsia="Arial" w:hAnsi="Arial"/>
          <w:i/>
          <w:iCs/>
          <w:color w:val="555555"/>
          <w:sz w:val="17"/>
          <w:szCs w:val="17"/>
        </w:rPr>
        <w:t xml:space="preserve">✗ FreeRTOS TM3: repeated "counters more than 1 different from average" determinism check errors. TaktOS and ThreadX: zero determinism errors across all tests and all measurement windows.</w:t>
      </w:r>
    </w:p>
    <w:p>
      <w:r>
        <w:br w:type="page"/>
      </w:r>
    </w:p>
    <w:p>
      <w:pPr>
        <w:pStyle w:val="Heading1"/>
        <w:spacing w:after="120" w:before="360"/>
      </w:pPr>
      <w:r>
        <w:rPr>
          <w:rFonts w:ascii="Arial" w:cs="Arial" w:eastAsia="Arial" w:hAnsi="Arial"/>
          <w:b/>
          <w:bCs/>
          <w:color w:val="1A3A6B"/>
          <w:sz w:val="22"/>
          <w:szCs w:val="22"/>
        </w:rPr>
        <w:t xml:space="preserve">2. Measurement Methodology</w:t>
      </w:r>
    </w:p>
    <w:p>
      <w:pPr>
        <w:pStyle w:val="Heading2"/>
        <w:spacing w:after="120" w:before="220"/>
      </w:pPr>
      <w:r>
        <w:rPr>
          <w:rFonts w:ascii="Arial" w:cs="Arial" w:eastAsia="Arial" w:hAnsi="Arial"/>
          <w:b/>
          <w:bCs/>
          <w:color w:val="1A3A6B"/>
          <w:sz w:val="22"/>
          <w:szCs w:val="22"/>
        </w:rPr>
        <w:t xml:space="preserve">2.1  Test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Parameter</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Value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Target board</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I-SYST BLYST Nano (IMM-NRF52832-NANO)  ·  10 × 7 × 1.6 mm System-on-Module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SoC</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Nordic Semiconductor nRF52832  ·  ARM Cortex-M4F @ 64 MHz  ·  512 KB Flash  ·  64 KB RAM</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CPU core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ARM Cortex-M4F  ·  64 MHz  ·  hardware FPU  ·  no instruction cache  ·  flash wait states per Nordic nRF52832 Product Specification v1.4</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Compiler</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arm-none-eabi-gcc 15.2.1  (xPack GNU Arm Embedded GCC)</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C++ standard</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gnu++23</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Optimization</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-Os (optimize for size) — identical flag for all three RTOSes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Tick rate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1000 Hz (ARM SysTick)</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Build system</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Eclipse CDT managed build  ·  Release configuration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Debug probe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J-Link OB (on-board)  ·  nrfjprog for flashing</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Output channel</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UARTE0  ·  115200 baud  ·  P0.07 TX</w:t>
            </w:r>
          </w:p>
        </w:tc>
      </w:tr>
    </w:tbl>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2.2  ThreadMetric Suite</w:t>
      </w:r>
    </w:p>
    <w:p>
      <w:pPr>
        <w:spacing w:after="80" w:before="60"/>
      </w:pPr>
      <w:r>
        <w:rPr>
          <w:rFonts w:ascii="Arial" w:cs="Arial" w:eastAsia="Arial" w:hAnsi="Arial"/>
          <w:sz w:val="20"/>
          <w:szCs w:val="20"/>
        </w:rPr>
        <w:t xml:space="preserve">ThreadMetric is an open-source RTOS benchmark suite maintained by Eclipse Foundation at eclipse-threadx/threadx. Each test runs continuously, counting operations per 30-second interval. Values are 30-second steady-state iteration counts — higher is better. The suite is unmodified; only the RTOS port layer (tm_port.cpp, main.cpp) is RTOS-specific.</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560"/>
        <w:gridCol w:w="190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Test</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ID</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What it measures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TaktOS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Basic Processing</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Single-thread compute throughput — no RTOS calls in the measurement window. Calibration only.</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Run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Cooperative Scheduling</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TM2</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Five equal-priority threads yielding to each other in round-robin. Yield and context switch throughput.</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Run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Preemptive Scheduling</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TM3</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ISR resuming a higher-priority thread. ISR-to-task preemption latency under sustained load.</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Run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Interrupt Processing</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TM4</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Benchmark harness owns a hardware timer IRQ.</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N/A — by design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Memory Allocation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Repeated dynamic allocation/free.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N/A — by design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Message Processing</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TM6</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Two threads exchanging fixed-size messages via a queue. Queue send/receive throughput.</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Run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Synchronization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TM7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Five threads sharing a semaphore in a producer/consumer pattern. Semaphore give/take throughput.</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Run</w:t>
            </w:r>
          </w:p>
        </w:tc>
      </w:tr>
    </w:tbl>
    <w:p>
      <w:pPr>
        <w:spacing w:after="0" w:before="80"/>
      </w:pPr>
      <w:r>
        <w:rPr>
          <w:rFonts w:ascii="Arial" w:cs="Arial" w:eastAsia="Arial" w:hAnsi="Arial"/>
          <w:sz w:val="20"/>
          <w:szCs w:val="20"/>
        </w:rPr>
        <w:t xml:space="preserve"/>
      </w:r>
    </w:p>
    <w:p>
      <w:pPr>
        <w:spacing w:after="80" w:before="60"/>
      </w:pPr>
      <w:r>
        <w:rPr>
          <w:rFonts w:ascii="Arial" w:cs="Arial" w:eastAsia="Arial" w:hAnsi="Arial"/>
          <w:b/>
          <w:bCs/>
          <w:sz w:val="20"/>
          <w:szCs w:val="20"/>
        </w:rPr>
        <w:t xml:space="preserve">TM4 and TM5 are not run for TaktOS</w:t>
      </w:r>
      <w:r>
        <w:rPr>
          <w:rFonts w:ascii="Arial" w:cs="Arial" w:eastAsia="Arial" w:hAnsi="Arial"/>
          <w:sz w:val="20"/>
          <w:szCs w:val="20"/>
        </w:rPr>
        <w:t xml:space="preserve"> — both tests conflict with TaktOS architectural constraints. TM4 requires the benchmark harness to own a hardware timer IRQ; TaktOS does not own application interrupts by design — all IRQ vectors belong to the application. TM5 measures dynamic memory allocation; TaktOS has no heap by design.</w:t>
      </w:r>
    </w:p>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2.3  Fairness Criteria</w:t>
      </w:r>
    </w:p>
    <w:p>
      <w:pPr>
        <w:spacing w:after="80" w:before="60"/>
      </w:pPr>
      <w:r>
        <w:rPr>
          <w:rFonts w:ascii="Arial" w:cs="Arial" w:eastAsia="Arial" w:hAnsi="Arial"/>
          <w:sz w:val="20"/>
          <w:szCs w:val="20"/>
        </w:rPr>
        <w:t xml:space="preserve">The following conditions were identical for all three RTOSes in this report:</w:t>
      </w:r>
    </w:p>
    <w:p>
      <w:pPr>
        <w:spacing w:after="0" w:before="4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Criterion</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Applied to all three RTOSes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Hardware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Same I-SYST BLYST Nano module (IMM-NRF52832-NANO), same power supply, same ambient temperature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Compiler</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arm-none-eabi-gcc 15.2.1</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Flags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-Os -mcpu=cortex-m4 -mthumb -mfloat-abi=hard -mfpu=fpv4-sp-d16</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Tick rate</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1000 Hz SysTick (FreeRTOS configTICK_RATE_HZ = 1000)</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Stack size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1024 bytes per thread</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Measurement</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30-second steady-state windows; first window discarded for warm-up</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Source code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Unmodified ThreadMetric tm_api.h and tm_*.c; only tm_port.cpp and main.cpp differ</w:t>
            </w:r>
          </w:p>
        </w:tc>
      </w:tr>
    </w:tbl>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2.4  Reproducibility</w:t>
      </w:r>
    </w:p>
    <w:p>
      <w:pPr>
        <w:spacing w:after="80" w:before="60"/>
      </w:pPr>
      <w:r>
        <w:rPr>
          <w:rFonts w:ascii="Arial" w:cs="Arial" w:eastAsia="Arial" w:hAnsi="Arial"/>
          <w:sz w:val="20"/>
          <w:szCs w:val="20"/>
        </w:rPr>
        <w:t xml:space="preserve">TaktOS TM6 (message processing) was run for 930 consecutive seconds (31 measurement windows). Every 30-second window produced identical results — bit-exact determinism over the full run. TaktOS TM3 (preemptive) was run for 1590 seconds (53 windows), showing a 3-count spread attributable to thermal settling in the first 1050 seconds, then locking to a stable value for the remaining 540 seconds.</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FDFCF" w:sz="1"/>
              <w:left w:val="single" w:color="9FDFCF" w:sz="1"/>
              <w:bottom w:val="single" w:color="9FDFCF" w:sz="1"/>
              <w:right w:val="single" w:color="9FDFCF" w:sz="1"/>
            </w:tcBorders>
            <w:shd w:fill="EAF4F1" w:val="clear"/>
            <w:tcMar>
              <w:top w:type="dxa" w:w="110"/>
              <w:left w:type="dxa" w:w="160"/>
              <w:bottom w:type="dxa" w:w="110"/>
              <w:right w:type="dxa" w:w="160"/>
            </w:tcMar>
          </w:tcPr>
          <w:p>
            <w:r>
              <w:rPr>
                <w:rFonts w:ascii="Arial" w:cs="Arial" w:eastAsia="Arial" w:hAnsi="Arial"/>
                <w:i/>
                <w:iCs/>
                <w:color w:val="0F6E56"/>
                <w:sz w:val="19"/>
                <w:szCs w:val="19"/>
              </w:rPr>
              <w:t xml:space="preserve">FreeRTOS TM2 produced repeated "counters more than 1 different from average" errors — the ThreadMetric determinism check. This failure was also observed by Beningo (2024) on STM32L475. TaktOS and ThreadX produced zero determinism check errors across all tests.</w:t>
            </w:r>
          </w:p>
        </w:tc>
      </w:tr>
    </w:tbl>
    <w:p>
      <w:r>
        <w:br w:type="page"/>
      </w:r>
    </w:p>
    <w:p>
      <w:pPr>
        <w:pStyle w:val="Heading1"/>
        <w:spacing w:after="120" w:before="360"/>
      </w:pPr>
      <w:r>
        <w:rPr>
          <w:rFonts w:ascii="Arial" w:cs="Arial" w:eastAsia="Arial" w:hAnsi="Arial"/>
          <w:b/>
          <w:bCs/>
          <w:color w:val="1A3A6B"/>
          <w:sz w:val="22"/>
          <w:szCs w:val="22"/>
        </w:rPr>
        <w:t xml:space="preserve">3. Benchmark Results</w:t>
      </w:r>
    </w:p>
    <w:p>
      <w:pPr>
        <w:pStyle w:val="Heading2"/>
        <w:spacing w:after="120" w:before="220"/>
      </w:pPr>
      <w:r>
        <w:rPr>
          <w:rFonts w:ascii="Arial" w:cs="Arial" w:eastAsia="Arial" w:hAnsi="Arial"/>
          <w:b/>
          <w:bCs/>
          <w:color w:val="1A3A6B"/>
          <w:sz w:val="22"/>
          <w:szCs w:val="22"/>
        </w:rPr>
        <w:t xml:space="preserve">3.1  TM1 — Basic Processing (Calibration)</w:t>
      </w:r>
    </w:p>
    <w:p>
      <w:pPr>
        <w:spacing w:after="80" w:before="60"/>
      </w:pPr>
      <w:r>
        <w:rPr>
          <w:rFonts w:ascii="Arial" w:cs="Arial" w:eastAsia="Arial" w:hAnsi="Arial"/>
          <w:sz w:val="20"/>
          <w:szCs w:val="20"/>
        </w:rPr>
        <w:t xml:space="preserve">TM1 runs a single thread computing in a tight loop with no RTOS API calls during the measurement window. All three RTOSes score within 7% of each other. This confirms the test environment is valid and compiler flags are equivalent across all three builds.</w:t>
      </w:r>
    </w:p>
    <w:p>
      <w:pPr>
        <w:spacing w:after="0" w:befor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9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TM1 Score</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Notes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143,765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Baseline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FreeRTOS</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143,765</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Identical — confirms equal compiler settings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ThreadX</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124,641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Within 7% — acceptable calibration spread</w:t>
            </w:r>
          </w:p>
        </w:tc>
      </w:tr>
    </w:tbl>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3.2  TM2 — Cooperative Scheduling</w:t>
      </w:r>
    </w:p>
    <w:p>
      <w:pPr>
        <w:spacing w:after="80" w:before="60"/>
      </w:pPr>
      <w:r>
        <w:rPr>
          <w:rFonts w:ascii="Arial" w:cs="Arial" w:eastAsia="Arial" w:hAnsi="Arial"/>
          <w:sz w:val="20"/>
          <w:szCs w:val="20"/>
        </w:rPr>
        <w:t xml:space="preserve">Five threads at equal priority yield to each other in round-robin. This test is dominated by the cost of a cooperative yield: saving the current task state, selecting the next task, and restoring that task's state.</w:t>
      </w:r>
    </w:p>
    <w:p>
      <w:pPr>
        <w:spacing w:after="0" w:befor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47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TM2 Score</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vs TaktOS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Notes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13,823,020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baseline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ThreadX</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10,497,840</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0.62×</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FreeRTOS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8,369,345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0.50× ✗</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Determinism check failed — counter spread &gt; ±1 of mean</w:t>
            </w:r>
          </w:p>
        </w:tc>
      </w:tr>
    </w:tbl>
    <w:p>
      <w:pPr>
        <w:spacing w:after="0" w:before="8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3.3  TM3 — Preemptive Scheduling</w:t>
      </w:r>
    </w:p>
    <w:p>
      <w:pPr>
        <w:spacing w:after="80" w:before="60"/>
      </w:pPr>
      <w:r>
        <w:rPr>
          <w:rFonts w:ascii="Arial" w:cs="Arial" w:eastAsia="Arial" w:hAnsi="Arial"/>
          <w:sz w:val="20"/>
          <w:szCs w:val="20"/>
        </w:rPr>
        <w:t xml:space="preserve">An ISR fires repeatedly and resumes a higher-priority thread, preempting the currently running thread. This test measures the full ISR-to-task preemption path: ISR entry, semaphore give, scheduler update, PendSV pending, PendSV handler, task restore.</w:t>
      </w:r>
    </w:p>
    <w:p>
      <w:pPr>
        <w:spacing w:after="0" w:befor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500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TM3 Score</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vs TaktOS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Notes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4,793,897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baseline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ThreadX</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4,354,376</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0.86×</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FreeRTOS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2,380,390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0.47× ✗</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BASEPRI critical sections add ~8cy DSB+ISB per boundary</w:t>
            </w:r>
          </w:p>
        </w:tc>
      </w:tr>
    </w:tbl>
    <w:p>
      <w:pPr>
        <w:spacing w:after="0" w:before="8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3.4  TM6 — Message Processing</w:t>
      </w:r>
    </w:p>
    <w:p>
      <w:pPr>
        <w:spacing w:after="80" w:before="60"/>
      </w:pPr>
      <w:r>
        <w:rPr>
          <w:rFonts w:ascii="Arial" w:cs="Arial" w:eastAsia="Arial" w:hAnsi="Arial"/>
          <w:sz w:val="20"/>
          <w:szCs w:val="20"/>
        </w:rPr>
        <w:t xml:space="preserve">Two threads exchange 16-byte messages through a queue — one thread sends, the other receives, back and forth. This test measures queue send/receive throughput including the context switch between producer and consumer.</w:t>
      </w:r>
    </w:p>
    <w:p>
      <w:pPr>
        <w:spacing w:after="0" w:befor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500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TM6 Score</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vs TaktOS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Notes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8,952,189</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baseline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ThreadX</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6,564,371</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0.89×</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FreeRTOS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2,158,116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0.30×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bl>
    <w:p>
      <w:pPr>
        <w:spacing w:after="0" w:before="8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3.5  TM7 — Synchronization Processing</w:t>
      </w:r>
    </w:p>
    <w:p>
      <w:pPr>
        <w:spacing w:after="80" w:before="60"/>
      </w:pPr>
      <w:r>
        <w:rPr>
          <w:rFonts w:ascii="Arial" w:cs="Arial" w:eastAsia="Arial" w:hAnsi="Arial"/>
          <w:sz w:val="20"/>
          <w:szCs w:val="20"/>
        </w:rPr>
        <w:t xml:space="preserve">Five threads share a counting semaphore in a producer/consumer pattern. This test is dominated by the semaphore give/take fast path — the most common kernel operation in interrupt-driven embedded systems.</w:t>
      </w:r>
    </w:p>
    <w:p>
      <w:pPr>
        <w:spacing w:after="0" w:before="6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47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TM7 Score</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vs TaktOS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Notes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20,381,897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baseline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ThreadX</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14,632,422</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0.74×</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FreeRTOS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3,910,892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0.20×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w:t>
            </w:r>
          </w:p>
        </w:tc>
      </w:tr>
    </w:tbl>
    <w:p>
      <w:pPr>
        <w:spacing w:after="0" w:before="80"/>
      </w:pPr>
      <w:r>
        <w:rPr>
          <w:rFonts w:ascii="Arial" w:cs="Arial" w:eastAsia="Arial" w:hAnsi="Arial"/>
          <w:sz w:val="20"/>
          <w:szCs w:val="20"/>
        </w:rPr>
        <w:t xml:space="preserve"/>
      </w:r>
    </w:p>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3.6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400"/>
        <w:gridCol w:w="12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Test</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TaktOS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FreeRTOS</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ThreadX</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 / FR</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 / TX</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bCs/>
                <w:color w:val="222222"/>
                <w:sz w:val="19"/>
                <w:szCs w:val="19"/>
              </w:rPr>
              <w:t xml:space="preserve">TM1  Basic Processing</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143,765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143,765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124,641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0.94×</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bCs/>
                <w:color w:val="222222"/>
                <w:sz w:val="19"/>
                <w:szCs w:val="19"/>
              </w:rPr>
              <w:t xml:space="preserve">TM2  Cooperative</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13,823,020</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8,369,345</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10,497,840</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1.99×</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1.61×</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bCs/>
                <w:color w:val="222222"/>
                <w:sz w:val="19"/>
                <w:szCs w:val="19"/>
              </w:rPr>
              <w:t xml:space="preserve">TM3  Preemptive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4,793,897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2,380,390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4,354,376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2.14×</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1.16×</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bCs/>
                <w:color w:val="222222"/>
                <w:sz w:val="19"/>
                <w:szCs w:val="19"/>
              </w:rPr>
              <w:t xml:space="preserve">TM6  Message Processing</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8,952,189</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2,158,116</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6,564,371</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3.39×</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1.13×</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bCs/>
                <w:color w:val="222222"/>
                <w:sz w:val="19"/>
                <w:szCs w:val="19"/>
              </w:rPr>
              <w:t xml:space="preserve">TM7  Synchronization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20,381,897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3,910,892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222222"/>
                <w:sz w:val="19"/>
                <w:szCs w:val="19"/>
              </w:rPr>
              <w:t xml:space="preserve">14,632,422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right"/>
            </w:pPr>
            <w:r>
              <w:rPr>
                <w:rFonts w:ascii="Arial" w:cs="Arial" w:eastAsia="Arial" w:hAnsi="Arial"/>
                <w:b w:val="false"/>
                <w:bCs w:val="false"/>
                <w:color w:val="0F6E56"/>
                <w:sz w:val="19"/>
                <w:szCs w:val="19"/>
              </w:rPr>
              <w:t xml:space="preserve">1.36×</w:t>
            </w:r>
          </w:p>
        </w:tc>
      </w:tr>
      <w:tr>
        <w:tc>
          <w:tcPr>
            <w:tcBorders>
              <w:top w:val="single" w:color="CCCCCC" w:sz="1"/>
              <w:left w:val="single" w:color="CCCCCC" w:sz="1"/>
              <w:bottom w:val="single" w:color="CCCCCC" w:sz="1"/>
              <w:right w:val="single" w:color="CCCCCC" w:sz="1"/>
            </w:tcBorders>
            <w:shd w:fill="C5D8F2" w:val="clear"/>
            <w:tcMar>
              <w:top w:type="dxa" w:w="80"/>
              <w:left w:type="dxa" w:w="110"/>
              <w:bottom w:type="dxa" w:w="80"/>
              <w:right w:type="dxa" w:w="110"/>
            </w:tcMar>
          </w:tcPr>
          <w:p>
            <w:pPr>
              <w:jc w:val="left"/>
            </w:pPr>
            <w:r>
              <w:rPr>
                <w:rFonts w:ascii="Arial" w:cs="Arial" w:eastAsia="Arial" w:hAnsi="Arial"/>
                <w:b/>
                <w:bCs/>
                <w:color w:val="222222"/>
                <w:sz w:val="19"/>
                <w:szCs w:val="19"/>
              </w:rPr>
              <w:t xml:space="preserve">Geometric mean (TM2–TM7)</w:t>
            </w:r>
          </w:p>
        </w:tc>
        <w:tc>
          <w:tcPr>
            <w:tcBorders>
              <w:top w:val="single" w:color="CCCCCC" w:sz="1"/>
              <w:left w:val="single" w:color="CCCCCC" w:sz="1"/>
              <w:bottom w:val="single" w:color="CCCCCC" w:sz="1"/>
              <w:right w:val="single" w:color="CCCCCC" w:sz="1"/>
            </w:tcBorders>
            <w:shd w:fill="C5D8F2"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
            </w:r>
          </w:p>
        </w:tc>
        <w:tc>
          <w:tcPr>
            <w:tcBorders>
              <w:top w:val="single" w:color="CCCCCC" w:sz="1"/>
              <w:left w:val="single" w:color="CCCCCC" w:sz="1"/>
              <w:bottom w:val="single" w:color="CCCCCC" w:sz="1"/>
              <w:right w:val="single" w:color="CCCCCC" w:sz="1"/>
            </w:tcBorders>
            <w:shd w:fill="C5D8F2"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
            </w:r>
          </w:p>
        </w:tc>
        <w:tc>
          <w:tcPr>
            <w:tcBorders>
              <w:top w:val="single" w:color="CCCCCC" w:sz="1"/>
              <w:left w:val="single" w:color="CCCCCC" w:sz="1"/>
              <w:bottom w:val="single" w:color="CCCCCC" w:sz="1"/>
              <w:right w:val="single" w:color="CCCCCC" w:sz="1"/>
            </w:tcBorders>
            <w:shd w:fill="C5D8F2"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
            </w:r>
          </w:p>
        </w:tc>
        <w:tc>
          <w:tcPr>
            <w:tcBorders>
              <w:top w:val="single" w:color="CCCCCC" w:sz="1"/>
              <w:left w:val="single" w:color="CCCCCC" w:sz="1"/>
              <w:bottom w:val="single" w:color="CCCCCC" w:sz="1"/>
              <w:right w:val="single" w:color="CCCCCC" w:sz="1"/>
            </w:tcBorders>
            <w:shd w:fill="C5D8F2"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2.92×</w:t>
            </w:r>
          </w:p>
        </w:tc>
        <w:tc>
          <w:tcPr>
            <w:tcBorders>
              <w:top w:val="single" w:color="CCCCCC" w:sz="1"/>
              <w:left w:val="single" w:color="CCCCCC" w:sz="1"/>
              <w:bottom w:val="single" w:color="CCCCCC" w:sz="1"/>
              <w:right w:val="single" w:color="CCCCCC" w:sz="1"/>
            </w:tcBorders>
            <w:shd w:fill="C5D8F2" w:val="clear"/>
            <w:tcMar>
              <w:top w:type="dxa" w:w="80"/>
              <w:left w:type="dxa" w:w="110"/>
              <w:bottom w:type="dxa" w:w="80"/>
              <w:right w:type="dxa" w:w="110"/>
            </w:tcMar>
          </w:tcPr>
          <w:p>
            <w:pPr>
              <w:jc w:val="right"/>
            </w:pPr>
            <w:r>
              <w:rPr>
                <w:rFonts w:ascii="Arial" w:cs="Arial" w:eastAsia="Arial" w:hAnsi="Arial"/>
                <w:b/>
                <w:bCs/>
                <w:color w:val="1A3A6B"/>
                <w:sz w:val="19"/>
                <w:szCs w:val="19"/>
              </w:rPr>
              <w:t xml:space="preserve">1.30×</w:t>
            </w:r>
          </w:p>
        </w:tc>
      </w:tr>
    </w:tbl>
    <w:p>
      <w:r>
        <w:br w:type="page"/>
      </w:r>
    </w:p>
    <w:p>
      <w:pPr>
        <w:pStyle w:val="Heading1"/>
        <w:spacing w:after="120" w:before="360"/>
      </w:pPr>
      <w:r>
        <w:rPr>
          <w:rFonts w:ascii="Arial" w:cs="Arial" w:eastAsia="Arial" w:hAnsi="Arial"/>
          <w:b/>
          <w:bCs/>
          <w:color w:val="1A3A6B"/>
          <w:sz w:val="22"/>
          <w:szCs w:val="22"/>
        </w:rPr>
        <w:t xml:space="preserve">4. TaktOS Product Overview</w:t>
      </w:r>
    </w:p>
    <w:p>
      <w:pPr>
        <w:spacing w:after="80" w:before="60"/>
      </w:pPr>
      <w:r>
        <w:rPr>
          <w:rFonts w:ascii="Arial" w:cs="Arial" w:eastAsia="Arial" w:hAnsi="Arial"/>
          <w:sz w:val="20"/>
          <w:szCs w:val="20"/>
        </w:rPr>
        <w:t xml:space="preserve">TaktOS is a commercial bare-metal RTOS developed by I-SYST inc., engineered for deterministic performance and functional safety certification on ARM Cortex-M and RISC-V RV32 targets.</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3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Feature</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TaktOS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Target architectures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ARM Cortex-M0/M0+, M4/M4F, M33, M55  ·  RISC-V RV32IMAC (Zbb recommended)</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Certification target</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IEC 61508 SIL 2 as SEooC  →  ISO 26262 ASIL D</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Memory model</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Static allocation only — zero heap in kernel hot paths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Interrupt model</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Application owns all IRQ vectors — kernel installs only PendSV, SVC, SysTick (weak)</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Public API</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Native C/C++ kernel API + POSIX PSE51 (pthread, sem_t, mqueue, timer)</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License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MIT — no royalties, no runtime fees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Safety boundary</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~1,454 LOC auditable C++20 + ARM Thumb-2 assembly</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Scheduler core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~590 LOC portable C++ — MC/DC certification burden in weeks, not months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Certification timeline</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~9–12 months for dual-arch SIL 2  ·  $600K–$1.0M estimated</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ASIL D uplift</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+6 months  ·  +$300K–$500K estimated</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IOsonata integration</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DevIntrf_t bus-injection driver model — identical on ARM and RISC-V</w:t>
            </w:r>
          </w:p>
        </w:tc>
      </w:tr>
    </w:tbl>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4.1  Kernel objects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7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Object</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API</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Description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Thread</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TaktOSThreadCreate / Suspend / Resume / Sleep / HandOff</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Static TCB + user-supplied stack buffer. Priority 0–255.</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Semaphore</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TaktOSSemGive / TaktOSSemTake</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Binary and counting. ISR-safe give. Priority-ordered wait list.</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Mutex</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TaktOSMutexLock / TaktOSMutexUnlock</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Binary ownership mutex with priority inheritance.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Queue</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TaktOSQueueSend / TaktOSQueueReceive</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Fixed-size ring buffer, user-supplied backing store. ISR-safe variants.</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Timer</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Software timer service task</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One-shot and auto-reload. Callback in task context.</w:t>
            </w:r>
          </w:p>
        </w:tc>
      </w:tr>
    </w:tbl>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4.2  POSIX PSE51 compatibility layer</w:t>
      </w:r>
    </w:p>
    <w:p>
      <w:pPr>
        <w:spacing w:after="80" w:before="60"/>
      </w:pPr>
      <w:r>
        <w:rPr>
          <w:rFonts w:ascii="Arial" w:cs="Arial" w:eastAsia="Arial" w:hAnsi="Arial"/>
          <w:sz w:val="20"/>
          <w:szCs w:val="20"/>
        </w:rPr>
        <w:t xml:space="preserve">TaktOS includes a POSIX PSE51 layer providing pthread, sem_t, mqueue, and POSIX timer APIs. Applications using standard POSIX threading primitives can run on TaktOS with minimal porting effort. The PSE51 layer sits outside the safety certification boundary, keeping the certified kernel minimal and auditable.</w:t>
      </w:r>
    </w:p>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4.3  Platform integration — IOsonata</w:t>
      </w:r>
    </w:p>
    <w:p>
      <w:pPr>
        <w:spacing w:after="80" w:before="60"/>
      </w:pPr>
      <w:r>
        <w:rPr>
          <w:rFonts w:ascii="Arial" w:cs="Arial" w:eastAsia="Arial" w:hAnsi="Arial"/>
          <w:sz w:val="20"/>
          <w:szCs w:val="20"/>
        </w:rPr>
        <w:t xml:space="preserve">TaktOS integrates natively with the IOsonata embedded framework (github.com/I-SYST/IOsonata). The DevIntrf_t bus-injection driver model works identically on both ARM and RISC-V targets. Sensor, communication, and peripheral drivers written for IOsonata are directly usable in TaktOS applications without modification.</w:t>
      </w:r>
    </w:p>
    <w:p>
      <w:pPr>
        <w:spacing w:after="0" w:before="10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4.4  Product family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c>
          <w:tcPr>
            <w:tcBorders>
              <w:top w:val="single" w:color="AAAAAA" w:sz="1"/>
              <w:left w:val="single" w:color="AAAAAA" w:sz="1"/>
              <w:bottom w:val="single" w:color="AAAAAA" w:sz="1"/>
              <w:right w:val="single" w:color="AAAAAA" w:sz="1"/>
            </w:tcBorders>
            <w:shd w:fill="B0CDE8" w:val="clear"/>
            <w:tcMar>
              <w:top w:type="dxa" w:w="90"/>
              <w:left w:type="dxa" w:w="110"/>
              <w:bottom w:type="dxa" w:w="90"/>
              <w:right w:type="dxa" w:w="110"/>
            </w:tcMar>
          </w:tcPr>
          <w:p>
            <w:r>
              <w:rPr>
                <w:rFonts w:ascii="Arial" w:cs="Arial" w:eastAsia="Arial" w:hAnsi="Arial"/>
                <w:b/>
                <w:bCs/>
                <w:color w:val="1A3A6B"/>
                <w:sz w:val="19"/>
                <w:szCs w:val="19"/>
              </w:rPr>
              <w:t xml:space="preserve">Product</w:t>
            </w:r>
          </w:p>
        </w:tc>
        <w:tc>
          <w:tcPr>
            <w:tcBorders>
              <w:top w:val="single" w:color="AAAAAA" w:sz="1"/>
              <w:left w:val="single" w:color="AAAAAA" w:sz="1"/>
              <w:bottom w:val="single" w:color="AAAAAA" w:sz="1"/>
              <w:right w:val="single" w:color="AAAAAA" w:sz="1"/>
            </w:tcBorders>
            <w:shd w:fill="C5D8F2" w:val="clear"/>
            <w:tcMar>
              <w:top w:type="dxa" w:w="90"/>
              <w:left w:type="dxa" w:w="110"/>
              <w:bottom w:type="dxa" w:w="90"/>
              <w:right w:type="dxa" w:w="110"/>
            </w:tcMar>
          </w:tcPr>
          <w:p>
            <w:r>
              <w:rPr>
                <w:rFonts w:ascii="Arial" w:cs="Arial" w:eastAsia="Arial" w:hAnsi="Arial"/>
                <w:b/>
                <w:bCs/>
                <w:color w:val="1A3A6B"/>
                <w:sz w:val="19"/>
                <w:szCs w:val="19"/>
              </w:rPr>
              <w:t xml:space="preserve">Role</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TaktOS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Deterministic RTOS kernel — this report</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IOsonata</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Embedded driver and interface framework (DevIntrf_t bus injection)</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BlueSonata</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Bluetooth connectivity layer</w:t>
            </w:r>
          </w:p>
        </w:tc>
      </w:tr>
      <w:tr>
        <w:tc>
          <w:tcPr>
            <w:tcBorders>
              <w:top w:val="single" w:color="CCCCCC" w:sz="1"/>
              <w:left w:val="single" w:color="CCCCCC" w:sz="1"/>
              <w:bottom w:val="single" w:color="CCCCCC" w:sz="1"/>
              <w:right w:val="single" w:color="CCCCCC" w:sz="1"/>
            </w:tcBorders>
            <w:shd w:fill="D6E4F7"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IOcomposer</w:t>
            </w:r>
          </w:p>
        </w:tc>
        <w:tc>
          <w:tcPr>
            <w:tcBorders>
              <w:top w:val="single" w:color="CCCCCC" w:sz="1"/>
              <w:left w:val="single" w:color="CCCCCC" w:sz="1"/>
              <w:bottom w:val="single" w:color="CCCCCC" w:sz="1"/>
              <w:right w:val="single" w:color="CCCCCC" w:sz="1"/>
            </w:tcBorders>
            <w:shd w:fill="F5F8FD" w:val="clear"/>
            <w:tcMar>
              <w:top w:type="dxa" w:w="80"/>
              <w:left w:type="dxa" w:w="110"/>
              <w:bottom w:type="dxa" w:w="80"/>
              <w:right w:type="dxa" w:w="110"/>
            </w:tcMar>
          </w:tcPr>
          <w:p>
            <w:pPr>
              <w:jc w:val="left"/>
            </w:pPr>
            <w:r>
              <w:rPr>
                <w:rFonts w:ascii="Arial" w:cs="Arial" w:eastAsia="Arial" w:hAnsi="Arial"/>
                <w:b w:val="false"/>
                <w:bCs w:val="false"/>
                <w:color w:val="222222"/>
                <w:sz w:val="19"/>
                <w:szCs w:val="19"/>
              </w:rPr>
              <w:t xml:space="preserve">System orchestration and composition layer</w:t>
            </w:r>
          </w:p>
        </w:tc>
      </w:tr>
    </w:tbl>
    <w:p>
      <w:pPr>
        <w:spacing w:after="0" w:before="120"/>
      </w:pPr>
      <w:r>
        <w:rPr>
          <w:rFonts w:ascii="Arial" w:cs="Arial" w:eastAsia="Arial" w:hAnsi="Arial"/>
          <w:sz w:val="20"/>
          <w:szCs w:val="20"/>
        </w:rPr>
        <w:t xml:space="preserve"/>
      </w:r>
    </w:p>
    <w:p>
      <w:pPr>
        <w:pStyle w:val="Heading1"/>
        <w:spacing w:after="120" w:before="360"/>
      </w:pPr>
      <w:r>
        <w:rPr>
          <w:rFonts w:ascii="Arial" w:cs="Arial" w:eastAsia="Arial" w:hAnsi="Arial"/>
          <w:b/>
          <w:bCs/>
          <w:color w:val="1A3A6B"/>
          <w:sz w:val="22"/>
          <w:szCs w:val="22"/>
        </w:rPr>
        <w:t xml:space="preserve">5. References and Source Availability</w:t>
      </w:r>
    </w:p>
    <w:p>
      <w:pPr>
        <w:pStyle w:val="Heading2"/>
        <w:spacing w:after="120" w:before="220"/>
      </w:pPr>
      <w:r>
        <w:rPr>
          <w:rFonts w:ascii="Arial" w:cs="Arial" w:eastAsia="Arial" w:hAnsi="Arial"/>
          <w:b/>
          <w:bCs/>
          <w:color w:val="1A3A6B"/>
          <w:sz w:val="22"/>
          <w:szCs w:val="22"/>
        </w:rPr>
        <w:t xml:space="preserve">5.1  Benchmark suite</w:t>
      </w:r>
    </w:p>
    <w:p>
      <w:pPr>
        <w:spacing w:after="80" w:before="60"/>
      </w:pPr>
      <w:r>
        <w:rPr>
          <w:rFonts w:ascii="Arial" w:cs="Arial" w:eastAsia="Arial" w:hAnsi="Arial"/>
          <w:sz w:val="20"/>
          <w:szCs w:val="20"/>
        </w:rPr>
        <w:t xml:space="preserve">eclipse-threadx/threadx ThreadMetric benchmark suite — utility/benchmarks/thread_metric/. MIT license. Source unmodified. TM1–TM3 and TM6–TM7 tests used.</w:t>
      </w:r>
    </w:p>
    <w:p>
      <w:pPr>
        <w:spacing w:after="0" w:before="8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5.2  Hardware</w:t>
      </w:r>
    </w:p>
    <w:p>
      <w:pPr>
        <w:spacing w:after="80" w:before="60"/>
      </w:pPr>
      <w:r>
        <w:rPr>
          <w:rFonts w:ascii="Arial" w:cs="Arial" w:eastAsia="Arial" w:hAnsi="Arial"/>
          <w:sz w:val="20"/>
          <w:szCs w:val="20"/>
        </w:rPr>
        <w:t xml:space="preserve">I-SYST BLYST Nano (IMM-NRF52832-NANO) System-on-Module. Based on Nordic Semiconductor nRF52832 SoC — ARM Cortex-M4F @ 64 MHz, 512 KB Flash, 64 KB RAM, hardware FPU, 2.4 GHz Bluetooth 5 radio, integrated ceramic antenna, on-board DC/DC converter. Module dimensions: 10 × 7 × 1.6 mm. No on-chip instruction cache. Flash read latency per Nordic nRF52832 Product Specification v1.4. Designed and manufactured by I-SYST inc., Brossard, Canada.</w:t>
      </w:r>
    </w:p>
    <w:p>
      <w:pPr>
        <w:spacing w:after="0" w:before="8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5.3  Compiler</w:t>
      </w:r>
    </w:p>
    <w:p>
      <w:pPr>
        <w:spacing w:after="80" w:before="60"/>
      </w:pPr>
      <w:r>
        <w:rPr>
          <w:rFonts w:ascii="Arial" w:cs="Arial" w:eastAsia="Arial" w:hAnsi="Arial"/>
          <w:sz w:val="20"/>
          <w:szCs w:val="20"/>
        </w:rPr>
        <w:t xml:space="preserve">xPack GNU Arm Embedded GCC 15.2.1 (arm-none-eabi). Available at https://github.com/xpack-dev-tools/arm-none-eabi-gcc-xpack.</w:t>
      </w:r>
    </w:p>
    <w:p>
      <w:pPr>
        <w:spacing w:after="0" w:before="8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5.4  Context switch cycle budget</w:t>
      </w:r>
    </w:p>
    <w:p>
      <w:pPr>
        <w:spacing w:after="80" w:before="60"/>
      </w:pPr>
      <w:r>
        <w:rPr>
          <w:rFonts w:ascii="Arial" w:cs="Arial" w:eastAsia="Arial" w:hAnsi="Arial"/>
          <w:sz w:val="20"/>
          <w:szCs w:val="20"/>
        </w:rPr>
        <w:t xml:space="preserve">A ~47-cycle ARM Cortex-M4 context switch is projected from llvm-mca 18 (--march=thumb --mcpu=cortex-m4) and validated against the ARM Cortex-M4 Technical Reference Manual cycle budget. On-target DWT cycle validation on STM32F407 is pending before this figure is published as a confirmed measurement.</w:t>
      </w:r>
    </w:p>
    <w:p>
      <w:pPr>
        <w:spacing w:after="0" w:before="80"/>
      </w:pPr>
      <w:r>
        <w:rPr>
          <w:rFonts w:ascii="Arial" w:cs="Arial" w:eastAsia="Arial" w:hAnsi="Arial"/>
          <w:sz w:val="20"/>
          <w:szCs w:val="20"/>
        </w:rPr>
        <w:t xml:space="preserve"/>
      </w:r>
    </w:p>
    <w:p>
      <w:pPr>
        <w:pStyle w:val="Heading2"/>
        <w:spacing w:after="120" w:before="220"/>
      </w:pPr>
      <w:r>
        <w:rPr>
          <w:rFonts w:ascii="Arial" w:cs="Arial" w:eastAsia="Arial" w:hAnsi="Arial"/>
          <w:b/>
          <w:bCs/>
          <w:color w:val="1A3A6B"/>
          <w:sz w:val="22"/>
          <w:szCs w:val="22"/>
        </w:rPr>
        <w:t xml:space="preserve">5.5  Referenced publications</w:t>
      </w:r>
    </w:p>
    <w:p>
      <w:pPr>
        <w:spacing w:after="80" w:before="60"/>
      </w:pPr>
      <w:r>
        <w:rPr>
          <w:rFonts w:ascii="Arial" w:cs="Arial" w:eastAsia="Arial" w:hAnsi="Arial"/>
          <w:sz w:val="20"/>
          <w:szCs w:val="20"/>
        </w:rPr>
        <w:t xml:space="preserve">Beningo Embedded Group — RTOS Performance Report 2024. STM32L4 IoT Discovery Node (B-L475E-IOT01A), 80 MHz Cortex-M4, GCC 12.3, ThreadMetric benchmark suite. Used for FreeRTOS determinism failure cross-reference only.</w:t>
      </w:r>
    </w:p>
    <w:p>
      <w:pPr>
        <w:spacing w:after="80" w:before="60"/>
      </w:pPr>
      <w:r>
        <w:rPr>
          <w:rFonts w:ascii="Arial" w:cs="Arial" w:eastAsia="Arial" w:hAnsi="Arial"/>
          <w:sz w:val="20"/>
          <w:szCs w:val="20"/>
        </w:rPr>
        <w:t xml:space="preserve">Mazzi et al. (2021) — "Benchmarking and Comparison of Two Open-source RTOSs for Embedded Systems Based on ARM Cortex-M4 MCU." Indian Journal of Science and Technology 14(16). DWT measurements on STM32F429 — referenced for RTX5 context switch figure (~140 cycles).</w:t>
      </w:r>
    </w:p>
    <w:p>
      <w:pPr>
        <w:spacing w:after="80" w:before="60"/>
      </w:pPr>
      <w:r>
        <w:rPr>
          <w:rFonts w:ascii="Arial" w:cs="Arial" w:eastAsia="Arial" w:hAnsi="Arial"/>
          <w:sz w:val="20"/>
          <w:szCs w:val="20"/>
        </w:rPr>
        <w:t xml:space="preserve">ARM Cortex-M4 Technical Reference Manual (r0p1) — exception entry/exit cycle counts.</w:t>
      </w:r>
    </w:p>
    <w:p>
      <w:pPr>
        <w:spacing w:after="0" w:before="10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FDFCF" w:sz="1"/>
              <w:left w:val="single" w:color="9FDFCF" w:sz="1"/>
              <w:bottom w:val="single" w:color="9FDFCF" w:sz="1"/>
              <w:right w:val="single" w:color="9FDFCF" w:sz="1"/>
            </w:tcBorders>
            <w:shd w:fill="EAF4F1" w:val="clear"/>
            <w:tcMar>
              <w:top w:type="dxa" w:w="110"/>
              <w:left w:type="dxa" w:w="160"/>
              <w:bottom w:type="dxa" w:w="110"/>
              <w:right w:type="dxa" w:w="160"/>
            </w:tcMar>
          </w:tcPr>
          <w:p>
            <w:r>
              <w:rPr>
                <w:rFonts w:ascii="Arial" w:cs="Arial" w:eastAsia="Arial" w:hAnsi="Arial"/>
                <w:i/>
                <w:iCs/>
                <w:color w:val="0F6E56"/>
                <w:sz w:val="19"/>
                <w:szCs w:val="19"/>
              </w:rPr>
              <w:t xml:space="preserve">All TaktOS, FreeRTOS, and ThreadX measurements in this report were produced directly on the I-SYST BLYST Nano module (IMM-NRF52832-NANO) at I-SYST inc. labs in April 2026. Raw test output logs and Eclipse project files are available on request.</w:t>
            </w:r>
          </w:p>
        </w:tc>
      </w:tr>
    </w:tbl>
    <w:p>
      <w:pPr>
        <w:spacing w:after="0" w:before="200"/>
      </w:pPr>
      <w:r>
        <w:rPr>
          <w:rFonts w:ascii="Arial" w:cs="Arial" w:eastAsia="Arial" w:hAnsi="Arial"/>
          <w:sz w:val="20"/>
          <w:szCs w:val="20"/>
        </w:rPr>
        <w:t xml:space="preserve"/>
      </w:r>
    </w:p>
    <w:p>
      <w:pPr>
        <w:spacing w:after="0" w:before="100"/>
        <w:jc w:val="center"/>
      </w:pPr>
      <w:r>
        <w:rPr>
          <w:rFonts w:ascii="Arial" w:cs="Arial" w:eastAsia="Arial" w:hAnsi="Arial"/>
          <w:i/>
          <w:iCs/>
          <w:color w:val="888888"/>
          <w:sz w:val="16"/>
          <w:szCs w:val="16"/>
        </w:rPr>
        <w:t xml:space="preserve">TaktOS RTOS Performance Benchmark Report  ·  April 2026  ·  I-SYST inc.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888888"/>
        <w:sz w:val="16"/>
        <w:szCs w:val="16"/>
      </w:rPr>
      <w:t xml:space="preserve">© 2026 I-SYST inc. All rights reserved.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rFonts w:ascii="Arial" w:cs="Arial" w:eastAsia="Arial" w:hAnsi="Arial"/>
        <w:color w:val="888888"/>
        <w:sz w:val="16"/>
        <w:szCs w:val="16"/>
      </w:rPr>
      <w:t xml:space="preserve">TaktOS RTOS Performance Benchmark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A9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6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2026-04-07T04:38:08.704Z</dcterms:created>
  <dcterms:modified xsi:type="dcterms:W3CDTF">2026-04-07T04:38:08.705Z</dcterms:modified>
</cp:coreProperties>
</file>

<file path=docProps/custom.xml><?xml version="1.0" encoding="utf-8"?>
<Properties xmlns="http://schemas.openxmlformats.org/officeDocument/2006/custom-properties" xmlns:vt="http://schemas.openxmlformats.org/officeDocument/2006/docPropsVTypes"/>
</file>