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b/>
          <w:bCs/>
          <w:color w:val="1F3A6E"/>
          <w:sz w:val="72"/>
          <w:szCs w:val="72"/>
        </w:rPr>
        <w:t xml:space="preserve">TaktOS</w:t>
      </w:r>
    </w:p>
    <w:p>
      <w:pPr>
        <w:jc w:val="center"/>
      </w:pPr>
      <w:r>
        <w:rPr>
          <w:rFonts w:ascii="Arial" w:cs="Arial" w:eastAsia="Arial" w:hAnsi="Arial"/>
          <w:color w:val="2B6CB0"/>
          <w:sz w:val="40"/>
          <w:szCs w:val="40"/>
        </w:rPr>
        <w:t xml:space="preserve">Performance Benchmark Report</w:t>
      </w:r>
    </w:p>
    <w:p>
      <w:pPr>
        <w:spacing w:after="80" w:before="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ARM Cortex-M4 / M33  |  Thread-Metric Test Suite  |  Rev 3.0  |  April 2026</w:t>
      </w:r>
    </w:p>
    <w:p>
      <w:pPr>
        <w:spacing w:after="200" w:before="0"/>
      </w:pPr>
      <w:r>
        <w:t xml:space="preserve"/>
      </w:r>
    </w:p>
    <w:tbl>
      <w:tblPr>
        <w:tblW w:type="dxa" w:w="7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5000"/>
      </w:tblGrid>
      <w:tr>
        <w:trPr>
          <w:tblHeader w:val="false"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Primary target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nRF54L15 (Cortex-M33 @ 128 MHz)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Secondary target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nRF52832 (Cortex-M4 @ 64 MHz)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Compiler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arm-none-eabi-gcc 15.2.1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Build flags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-Os  -ffunction-sections  -fdata-sections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Tick rate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1000 Hz (Thread-Metric standard)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Test suite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Thread-Metric 1.0 (eclipse-threadx/threadx)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Competitors tested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FreeRTOS (v11), Eclipse ThreadX (source)</w:t>
            </w:r>
          </w:p>
        </w:tc>
      </w:tr>
    </w:tbl>
    <w:p>
      <w:pPr>
        <w:spacing w:after="20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680"/>
        <w:gridCol w:w="2680"/>
      </w:tblGrid>
      <w:tr>
        <w:trPr>
          <w:tblHeader/>
        </w:trPr>
        <w:tc>
          <w:tcPr>
            <w:tcW w:type="dxa" w:w="200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200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268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nRF54L15 (M33)</w:t>
            </w:r>
          </w:p>
        </w:tc>
        <w:tc>
          <w:tcPr>
            <w:tcW w:type="dxa" w:w="268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nRF52832 (M4)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TM7 Sync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vs FreeRTOS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+430%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+261%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TM6 Message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vs FreeRTOS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+296%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+201%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TM3 Preemptive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vs FreeRTOS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+95%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+115%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TM7 Sync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vs ThreadX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+56%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+3%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Binary (TM7)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vs FreeRTOS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17% smaller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38% smaller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B6CB0" w:sz="6" w:space="4"/>
        </w:pBdr>
        <w:spacing w:after="160" w:before="400"/>
      </w:pPr>
      <w:r>
        <w:rPr>
          <w:color w:val="1F3A6E"/>
        </w:rPr>
        <w:t xml:space="preserve">1.  Executive Summary</w:t>
      </w:r>
    </w:p>
    <w:p>
      <w:pPr>
        <w:spacing w:after="60" w:before="60"/>
      </w:pPr>
      <w:r>
        <w:t xml:space="preserve">TaktOS is a bare-metal deterministic RTOS targeting IEC 61508 SIL 2 certification. This report presents directly measured Thread-Metric benchmark results on two hardware targets against FreeRTOS (MIT, no cert) and Eclipse ThreadX (MIT, ASIL D certified). All three RTOSes were built with identical toolchain flags on the same boards. No cross-board normalization, no estimates.</w:t>
      </w:r>
    </w:p>
    <w:p>
      <w:pPr>
        <w:spacing w:after="80" w:before="0"/>
      </w:pPr>
      <w:r>
        <w:t xml:space="preserve"/>
      </w:r>
    </w:p>
    <w:p>
      <w:pPr>
        <w:pStyle w:val="Heading2"/>
        <w:spacing w:after="100" w:before="280"/>
      </w:pPr>
      <w:r>
        <w:rPr>
          <w:color w:val="2B6CB0"/>
        </w:rPr>
        <w:t xml:space="preserve">1.1  nRF54L15 headline results (Cortex-M33 @ 128 MHz, GCC 15.2.1 -Os)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60"/>
        <w:gridCol w:w="1440"/>
        <w:gridCol w:w="1680"/>
        <w:gridCol w:w="1680"/>
        <w:gridCol w:w="800"/>
        <w:gridCol w:w="800"/>
        <w:gridCol w:w="800"/>
      </w:tblGrid>
      <w:tr>
        <w:trPr>
          <w:tblHeader/>
        </w:trPr>
        <w:tc>
          <w:tcPr>
            <w:tcW w:type="dxa" w:w="196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44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TaktOS</w:t>
            </w:r>
          </w:p>
        </w:tc>
        <w:tc>
          <w:tcPr>
            <w:tcW w:type="dxa" w:w="168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FreeRTOS</w:t>
            </w:r>
          </w:p>
        </w:tc>
        <w:tc>
          <w:tcPr>
            <w:tcW w:type="dxa" w:w="168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ThreadX</w:t>
            </w:r>
          </w:p>
        </w:tc>
        <w:tc>
          <w:tcPr>
            <w:tcW w:type="dxa" w:w="80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vs FreeRTOS</w:t>
            </w:r>
          </w:p>
        </w:tc>
        <w:tc>
          <w:tcPr>
            <w:tcW w:type="dxa" w:w="80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vs ThreadX</w:t>
            </w:r>
          </w:p>
        </w:tc>
      </w:tr>
      <w:tr>
        <w:trPr>
          <w:tblHeader w:val="false"/>
        </w:trPr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TM1 Basic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374,391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374,303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374,403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+0%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0%</w:t>
            </w:r>
          </w:p>
        </w:tc>
      </w:tr>
      <w:tr>
        <w:trPr>
          <w:tblHeader w:val="false"/>
        </w:trPr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TM2 Cooperative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35,533,469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26,291,926⚠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26,466,010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+35%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+34%</w:t>
            </w:r>
          </w:p>
        </w:tc>
      </w:tr>
      <w:tr>
        <w:trPr>
          <w:tblHeader w:val="false"/>
        </w:trPr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TM3 Preemptive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13,069,763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6,717,021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11,757,317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+95%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+11%</w:t>
            </w:r>
          </w:p>
        </w:tc>
      </w:tr>
      <w:tr>
        <w:trPr>
          <w:tblHeader w:val="false"/>
        </w:trPr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TM6 Message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27,410,576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6,922,811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18,811,775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+296%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+46%</w:t>
            </w:r>
          </w:p>
        </w:tc>
      </w:tr>
      <w:tr>
        <w:trPr>
          <w:tblHeader w:val="false"/>
        </w:trPr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TM7 Synchronization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59,959,247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11,317,134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38,375,092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+430%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+56%</w:t>
            </w:r>
          </w:p>
        </w:tc>
      </w:tr>
      <w:tr>
        <w:trPr>
          <w:tblHeader w:val="false"/>
        </w:trPr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TM8 Mutex Fairness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18,997,662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7,259,902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10,158,918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+162%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+87%</w:t>
            </w:r>
          </w:p>
        </w:tc>
      </w:tr>
      <w:tr>
        <w:trPr>
          <w:tblHeader w:val="false"/>
        </w:trPr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Mutex Barging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18,706,488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7,076,879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9,934,406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+164%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+88%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Bdr>
          <w:left w:val="single" w:color="856404" w:sz="12" w:space="4"/>
        </w:pBdr>
        <w:shd w:fill="FFF3CD" w:val="clear"/>
        <w:spacing w:after="120" w:before="120"/>
        <w:ind w:left="200"/>
      </w:pPr>
      <w:r>
        <w:rPr>
          <w:b/>
          <w:bCs/>
          <w:color w:val="856404"/>
        </w:rPr>
        <w:t xml:space="preserve">NOTE  </w:t>
      </w:r>
      <w:r>
        <w:t xml:space="preserve">FreeRTOS TM2 ⚠: produced repeated 'counters more than 1 different from average' determinism check errors on every 30-second window. TaktOS and ThreadX: zero determinism errors across all tests. FreeRTOS TM2 figure is reported for completeness but is not a valid comparison point.</w:t>
      </w:r>
    </w:p>
    <w:p>
      <w:pPr>
        <w:spacing w:after="80" w:before="0"/>
      </w:pPr>
      <w:r>
        <w:t xml:space="preserve"/>
      </w:r>
    </w:p>
    <w:p>
      <w:pPr>
        <w:pStyle w:val="Heading2"/>
        <w:spacing w:after="100" w:before="280"/>
      </w:pPr>
      <w:r>
        <w:rPr>
          <w:color w:val="2B6CB0"/>
        </w:rPr>
        <w:t xml:space="preserve">1.2  Additional highlights</w:t>
      </w:r>
    </w:p>
    <w:p>
      <w:pPr>
        <w:spacing w:after="60" w:before="60"/>
      </w:pPr>
      <w:r>
        <w:t xml:space="preserve">TaktOS binary is smallest in every test on both boards.</w:t>
      </w:r>
    </w:p>
    <w:p>
      <w:pPr>
        <w:spacing w:after="60" w:before="60"/>
      </w:pPr>
      <w:r>
        <w:t xml:space="preserve">TaktOS Mutex Barging barge fraction 0.006 vs FreeRTOS 0.016 and ThreadX 0.012 — TaktOS allows 2.7× fewer priority inversions from barging than FreeRTOS.</w:t>
      </w:r>
    </w:p>
    <w:p>
      <w:pPr>
        <w:spacing w:after="60" w:before="60"/>
      </w:pPr>
      <w:r>
        <w:t xml:space="preserve">TM7 (semaphore throughput) shows the largest advantage: +430% over FreeRTOS, +56% over ThreadX on M33. This reflects TaktOS’s atomic split-counter design which eliminates PRIMASK on the no-waiter fast path.</w:t>
      </w:r>
    </w:p>
    <w:p>
      <w:pPr>
        <w:spacing w:after="60" w:before="60"/>
      </w:pPr>
      <w:r>
        <w:t xml:space="preserve">TM8 (Mutex Fairness) fairness ratio: TaktOS 0.999–1.000, FreeRTOS 0.999, ThreadX 0.999. All three have equivalent fairness. TaktOS delivers +162% total throughput while maintaining the same fairness.</w:t>
      </w:r>
    </w:p>
    <w:p>
      <w:pPr>
        <w:pStyle w:val="Heading1"/>
        <w:pBdr>
          <w:bottom w:val="single" w:color="2B6CB0" w:sz="6" w:space="4"/>
        </w:pBdr>
        <w:spacing w:after="160" w:before="400"/>
      </w:pPr>
      <w:r>
        <w:rPr>
          <w:color w:val="1F3A6E"/>
        </w:rPr>
        <w:t xml:space="preserve">2.  Test Methodology</w:t>
      </w:r>
    </w:p>
    <w:p>
      <w:pPr>
        <w:pStyle w:val="Heading2"/>
        <w:spacing w:after="100" w:before="280"/>
      </w:pPr>
      <w:r>
        <w:rPr>
          <w:color w:val="2B6CB0"/>
        </w:rPr>
        <w:t xml:space="preserve">2.1  Thread-Metric test suite</w:t>
      </w:r>
    </w:p>
    <w:p>
      <w:pPr>
        <w:spacing w:after="60" w:before="60"/>
      </w:pPr>
      <w:r>
        <w:t xml:space="preserve">The official Thread-Metric benchmark suite (eclipse-threadx/threadx utility/benchmarks/thread_metric) was used without modification to the benchmark logic. A custom tm_port_taktos.cpp provides the TaktOS porting layer. All ports (TaktOS, FreeRTOS, ThreadX) use the same test suite sources.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400"/>
        <w:gridCol w:w="5360"/>
      </w:tblGrid>
      <w:tr>
        <w:trPr>
          <w:tblHeader/>
        </w:trPr>
        <w:tc>
          <w:tcPr>
            <w:tcW w:type="dxa" w:w="160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240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Measures</w:t>
            </w:r>
          </w:p>
        </w:tc>
        <w:tc>
          <w:tcPr>
            <w:tcW w:type="dxa" w:w="536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exercises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TM1 Basic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Single-thread ops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Calibration. Measures non-scheduler compute throughput. All RTOSes should score identically.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TM2 Cooperative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Yield round-trips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5 equal-priority threads yielding via tm_thread_relinquish(). Measures scheduler round-robin overhead.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TM3 Preemptive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Context switches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5 threads at increasing priorities, higher preempts lower on resume. Measures preemption latency.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TM6 Message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Queue throughput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 sender + 1 receiver passing 16-byte messages. Measures queue send/receive round-trip.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TM7 Synchronization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Semaphore throughput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 ISR + 1 waiter. ISR fires TM7_OPERATIONS times per 30s window. Measures semaphore Give/Take latency.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TM8 Mutex Fairness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Mutex round-trips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4 equal-priority threads contending on one mutex. Measures fairness ratio and throughput.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Mutex Barging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Priority enforcement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4 workers (pri 10) + 4 interlopers (pri 3). Measures how often lower-priority interlopers can barge the mutex.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2"/>
        <w:spacing w:after="100" w:before="280"/>
      </w:pPr>
      <w:r>
        <w:rPr>
          <w:color w:val="2B6CB0"/>
        </w:rPr>
        <w:t xml:space="preserve">2.2  Build configuration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rPr>
          <w:tblHeader/>
        </w:trPr>
        <w:tc>
          <w:tcPr>
            <w:tcW w:type="dxa" w:w="200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368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nRF54L15</w:t>
            </w:r>
          </w:p>
        </w:tc>
        <w:tc>
          <w:tcPr>
            <w:tcW w:type="dxa" w:w="368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nRF52832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Board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Nordic nRF54L15-DK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I-SYST BLYST Nano (nRF52832)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CPU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Cortex-M33 @ 128 MHz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Cortex-M4F @ 64 MHz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Compiler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arm-none-eabi-gcc 15.2.1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arm-none-eabi-gcc 15.2.1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Optimization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-Os  -ffunction-sections  -fdata-sections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-Os  -ffunction-sections  -fdata-sections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C++ standard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-std=gnu17 (C) / -std=gnu++23 (C++)  -fno-exceptions  -fno-rtti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-std=gnu17 (C) / -std=gnu++23 (C++)  -fno-exceptions  -fno-rtti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Tick rate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1000 Hz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1000 Hz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RTOS flags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No special flags for any RTOS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No special flags for any RTOS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Bdr>
          <w:left w:val="single" w:color="2B6CB0" w:sz="12" w:space="4"/>
        </w:pBdr>
        <w:shd w:fill="E8F0FB" w:val="clear"/>
        <w:spacing w:after="120" w:before="120"/>
        <w:ind w:left="200"/>
      </w:pPr>
      <w:r>
        <w:rPr>
          <w:b/>
          <w:bCs/>
          <w:color w:val="2B6CB0"/>
        </w:rPr>
        <w:t xml:space="preserve">NOTE  </w:t>
      </w:r>
      <w:r>
        <w:t xml:space="preserve">All three RTOSes are compiled with identical flags. No RTOS-specific optimization flags are applied. All results are measured on hardware — not simulated, not scaled.</w:t>
      </w:r>
    </w:p>
    <w:p>
      <w:pPr>
        <w:pStyle w:val="Heading1"/>
        <w:pBdr>
          <w:bottom w:val="single" w:color="2B6CB0" w:sz="6" w:space="4"/>
        </w:pBdr>
        <w:spacing w:after="160" w:before="400"/>
      </w:pPr>
      <w:r>
        <w:rPr>
          <w:color w:val="1F3A6E"/>
        </w:rPr>
        <w:t xml:space="preserve">3.  nRF54L15 Results — Cortex-M33 @ 128 MHz</w:t>
      </w:r>
    </w:p>
    <w:p>
      <w:pPr>
        <w:spacing w:after="60" w:before="60"/>
      </w:pPr>
      <w:r>
        <w:t xml:space="preserve">Steady-state 30-second window iteration count. Higher is better. Values shown are from the last stable window (t = 300 s). The first window (t = 30 s) is sometimes elevated due to cache/pipeline warmup and is excluded from the stable value.</w:t>
      </w:r>
    </w:p>
    <w:p>
      <w:pPr>
        <w:spacing w:after="160" w:before="0"/>
      </w:pPr>
      <w:r>
        <w:t xml:space="preserve"/>
      </w:r>
    </w:p>
    <w:p>
      <w:pPr>
        <w:pStyle w:val="Heading2"/>
        <w:spacing w:after="100" w:before="280"/>
      </w:pPr>
      <w:r>
        <w:rPr>
          <w:color w:val="2B6CB0"/>
        </w:rPr>
        <w:t xml:space="preserve">3.1  Performance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60"/>
        <w:gridCol w:w="1440"/>
        <w:gridCol w:w="1680"/>
        <w:gridCol w:w="1680"/>
        <w:gridCol w:w="800"/>
        <w:gridCol w:w="800"/>
        <w:gridCol w:w="800"/>
      </w:tblGrid>
      <w:tr>
        <w:trPr>
          <w:tblHeader/>
        </w:trPr>
        <w:tc>
          <w:tcPr>
            <w:tcW w:type="dxa" w:w="196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44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TaktOS</w:t>
            </w:r>
          </w:p>
        </w:tc>
        <w:tc>
          <w:tcPr>
            <w:tcW w:type="dxa" w:w="168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FreeRTOS</w:t>
            </w:r>
          </w:p>
        </w:tc>
        <w:tc>
          <w:tcPr>
            <w:tcW w:type="dxa" w:w="168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ThreadX</w:t>
            </w:r>
          </w:p>
        </w:tc>
        <w:tc>
          <w:tcPr>
            <w:tcW w:type="dxa" w:w="80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vs FreeRTOS</w:t>
            </w:r>
          </w:p>
        </w:tc>
        <w:tc>
          <w:tcPr>
            <w:tcW w:type="dxa" w:w="80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vs ThreadX</w:t>
            </w:r>
          </w:p>
        </w:tc>
      </w:tr>
      <w:tr>
        <w:trPr>
          <w:tblHeader w:val="false"/>
        </w:trPr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TM1 Basic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374,391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374,303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374,403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+0%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0%</w:t>
            </w:r>
          </w:p>
        </w:tc>
      </w:tr>
      <w:tr>
        <w:trPr>
          <w:tblHeader w:val="false"/>
        </w:trPr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TM2 Cooperative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35,533,469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26,291,926⚠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26,466,010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+35%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+34%</w:t>
            </w:r>
          </w:p>
        </w:tc>
      </w:tr>
      <w:tr>
        <w:trPr>
          <w:tblHeader w:val="false"/>
        </w:trPr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TM3 Preemptive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13,069,763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6,717,021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11,757,317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+95%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+11%</w:t>
            </w:r>
          </w:p>
        </w:tc>
      </w:tr>
      <w:tr>
        <w:trPr>
          <w:tblHeader w:val="false"/>
        </w:trPr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TM6 Message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27,410,576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6,922,811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18,811,775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+296%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+46%</w:t>
            </w:r>
          </w:p>
        </w:tc>
      </w:tr>
      <w:tr>
        <w:trPr>
          <w:tblHeader w:val="false"/>
        </w:trPr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TM7 Synchronization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59,959,247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11,317,134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38,375,092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+430%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+56%</w:t>
            </w:r>
          </w:p>
        </w:tc>
      </w:tr>
      <w:tr>
        <w:trPr>
          <w:tblHeader w:val="false"/>
        </w:trPr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TM8 Mutex Fairness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18,997,662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7,259,902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10,158,918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+162%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+87%</w:t>
            </w:r>
          </w:p>
        </w:tc>
      </w:tr>
      <w:tr>
        <w:trPr>
          <w:tblHeader w:val="false"/>
        </w:trPr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Mutex Barging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18,706,488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7,076,879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9,934,406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+164%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+88%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Bdr>
          <w:left w:val="single" w:color="856404" w:sz="12" w:space="4"/>
        </w:pBdr>
        <w:shd w:fill="FFF3CD" w:val="clear"/>
        <w:spacing w:after="120" w:before="120"/>
        <w:ind w:left="200"/>
      </w:pPr>
      <w:r>
        <w:rPr>
          <w:b/>
          <w:bCs/>
          <w:color w:val="856404"/>
        </w:rPr>
        <w:t xml:space="preserve">NOTE  </w:t>
      </w:r>
      <w:r>
        <w:t xml:space="preserve">FreeRTOS TM2 produced 'ERROR: Invalid counter value(s)' on every window (cooperative counters more than 1 different from average). This is a determinism failure in the FreeRTOS port, not a measurement artifact. ThreadX and TaktOS produce zero determinism errors.</w:t>
      </w:r>
    </w:p>
    <w:p>
      <w:pPr>
        <w:spacing w:after="160" w:before="0"/>
      </w:pPr>
      <w:r>
        <w:t xml:space="preserve"/>
      </w:r>
    </w:p>
    <w:p>
      <w:pPr>
        <w:pStyle w:val="Heading2"/>
        <w:spacing w:after="100" w:before="280"/>
      </w:pPr>
      <w:r>
        <w:rPr>
          <w:color w:val="2B6CB0"/>
        </w:rPr>
        <w:t xml:space="preserve">3.2  Binary size (text + data + bss bytes)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1920"/>
        <w:gridCol w:w="1920"/>
        <w:gridCol w:w="1920"/>
        <w:gridCol w:w="800"/>
        <w:gridCol w:w="640"/>
      </w:tblGrid>
      <w:tr>
        <w:trPr>
          <w:tblHeader/>
        </w:trPr>
        <w:tc>
          <w:tcPr>
            <w:tcW w:type="dxa" w:w="216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92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TaktOS</w:t>
            </w:r>
          </w:p>
        </w:tc>
        <w:tc>
          <w:tcPr>
            <w:tcW w:type="dxa" w:w="192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FreeRTOS</w:t>
            </w:r>
          </w:p>
        </w:tc>
        <w:tc>
          <w:tcPr>
            <w:tcW w:type="dxa" w:w="192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ThreadX</w:t>
            </w:r>
          </w:p>
        </w:tc>
        <w:tc>
          <w:tcPr>
            <w:tcW w:type="dxa" w:w="80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TaktOS vs FR</w:t>
            </w:r>
          </w:p>
        </w:tc>
        <w:tc>
          <w:tcPr>
            <w:tcW w:type="dxa" w:w="64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TaktOS vs TX</w:t>
            </w:r>
          </w:p>
        </w:tc>
      </w:tr>
      <w:tr>
        <w:trPr>
          <w:tblHeader w:val="false"/>
        </w:trP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TM1 Basic</w:t>
            </w:r>
          </w:p>
        </w:tc>
        <w:tc>
          <w:tcPr>
            <w:tcW w:type="dxa" w:w="1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26,399</w:t>
            </w:r>
          </w:p>
        </w:tc>
        <w:tc>
          <w:tcPr>
            <w:tcW w:type="dxa" w:w="1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29,238</w:t>
            </w:r>
          </w:p>
        </w:tc>
        <w:tc>
          <w:tcPr>
            <w:tcW w:type="dxa" w:w="1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29,056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-10%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-9%</w:t>
            </w:r>
          </w:p>
        </w:tc>
      </w:tr>
      <w:tr>
        <w:trPr>
          <w:tblHeader w:val="false"/>
        </w:trP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TM2 Cooperative</w:t>
            </w:r>
          </w:p>
        </w:tc>
        <w:tc>
          <w:tcPr>
            <w:tcW w:type="dxa" w:w="1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24,207</w:t>
            </w:r>
          </w:p>
        </w:tc>
        <w:tc>
          <w:tcPr>
            <w:tcW w:type="dxa" w:w="1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26,956</w:t>
            </w:r>
          </w:p>
        </w:tc>
        <w:tc>
          <w:tcPr>
            <w:tcW w:type="dxa" w:w="1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26,884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-10%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-10%</w:t>
            </w:r>
          </w:p>
        </w:tc>
      </w:tr>
      <w:tr>
        <w:trPr>
          <w:tblHeader w:val="false"/>
        </w:trP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TM3 Preemptive</w:t>
            </w:r>
          </w:p>
        </w:tc>
        <w:tc>
          <w:tcPr>
            <w:tcW w:type="dxa" w:w="1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23,988</w:t>
            </w:r>
          </w:p>
        </w:tc>
        <w:tc>
          <w:tcPr>
            <w:tcW w:type="dxa" w:w="1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26,816</w:t>
            </w:r>
          </w:p>
        </w:tc>
        <w:tc>
          <w:tcPr>
            <w:tcW w:type="dxa" w:w="1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26,937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-11%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-11%</w:t>
            </w:r>
          </w:p>
        </w:tc>
      </w:tr>
      <w:tr>
        <w:trPr>
          <w:tblHeader w:val="false"/>
        </w:trP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TM6 Message</w:t>
            </w:r>
          </w:p>
        </w:tc>
        <w:tc>
          <w:tcPr>
            <w:tcW w:type="dxa" w:w="1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23,429</w:t>
            </w:r>
          </w:p>
        </w:tc>
        <w:tc>
          <w:tcPr>
            <w:tcW w:type="dxa" w:w="1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27,090</w:t>
            </w:r>
          </w:p>
        </w:tc>
        <w:tc>
          <w:tcPr>
            <w:tcW w:type="dxa" w:w="1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26,414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-14%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-11%</w:t>
            </w:r>
          </w:p>
        </w:tc>
      </w:tr>
      <w:tr>
        <w:trPr>
          <w:tblHeader w:val="false"/>
        </w:trP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TM7 Synchronization</w:t>
            </w:r>
          </w:p>
        </w:tc>
        <w:tc>
          <w:tcPr>
            <w:tcW w:type="dxa" w:w="1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22,684</w:t>
            </w:r>
          </w:p>
        </w:tc>
        <w:tc>
          <w:tcPr>
            <w:tcW w:type="dxa" w:w="1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27,182</w:t>
            </w:r>
          </w:p>
        </w:tc>
        <w:tc>
          <w:tcPr>
            <w:tcW w:type="dxa" w:w="1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25,585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-17%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-11%</w:t>
            </w:r>
          </w:p>
        </w:tc>
      </w:tr>
      <w:tr>
        <w:trPr>
          <w:tblHeader w:val="false"/>
        </w:trP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TM8 Mutex Fairness</w:t>
            </w:r>
          </w:p>
        </w:tc>
        <w:tc>
          <w:tcPr>
            <w:tcW w:type="dxa" w:w="1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24,806</w:t>
            </w:r>
          </w:p>
        </w:tc>
        <w:tc>
          <w:tcPr>
            <w:tcW w:type="dxa" w:w="1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29,196</w:t>
            </w:r>
          </w:p>
        </w:tc>
        <w:tc>
          <w:tcPr>
            <w:tcW w:type="dxa" w:w="1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28,631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-15%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-13%</w:t>
            </w:r>
          </w:p>
        </w:tc>
      </w:tr>
      <w:tr>
        <w:trPr>
          <w:tblHeader w:val="false"/>
        </w:trP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Mutex Barging</w:t>
            </w:r>
          </w:p>
        </w:tc>
        <w:tc>
          <w:tcPr>
            <w:tcW w:type="dxa" w:w="1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26,012</w:t>
            </w:r>
          </w:p>
        </w:tc>
        <w:tc>
          <w:tcPr>
            <w:tcW w:type="dxa" w:w="1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30,296</w:t>
            </w:r>
          </w:p>
        </w:tc>
        <w:tc>
          <w:tcPr>
            <w:tcW w:type="dxa" w:w="1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29,717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-14%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-12%</w:t>
            </w:r>
          </w:p>
        </w:tc>
      </w:tr>
    </w:tbl>
    <w:p>
      <w:pPr>
        <w:spacing w:after="80" w:before="0"/>
      </w:pPr>
      <w:r>
        <w:t xml:space="preserve"/>
      </w:r>
    </w:p>
    <w:p>
      <w:pPr>
        <w:spacing w:after="60" w:before="60"/>
      </w:pPr>
      <w:r>
        <w:t xml:space="preserve">TaktOS binary is smallest in every test. Advantage ranges from 10% to 17% smaller than FreeRTOS and 9% to 13% smaller than ThreadX.</w:t>
      </w:r>
    </w:p>
    <w:p>
      <w:pPr>
        <w:spacing w:after="160" w:before="0"/>
      </w:pPr>
      <w:r>
        <w:t xml:space="preserve"/>
      </w:r>
    </w:p>
    <w:p>
      <w:pPr>
        <w:pStyle w:val="Heading2"/>
        <w:spacing w:after="100" w:before="280"/>
      </w:pPr>
      <w:r>
        <w:rPr>
          <w:color w:val="2B6CB0"/>
        </w:rPr>
        <w:t xml:space="preserve">3.3  Mutex Barging test</w:t>
      </w:r>
    </w:p>
    <w:p>
      <w:pPr>
        <w:spacing w:after="60" w:before="60"/>
      </w:pPr>
      <w:r>
        <w:t xml:space="preserve">The Mutex Barging test measures priority enforcement quality: 4 worker threads at priority 10 compete for a mutex, while 4 interlopers at priority 3 also attempt to acquire it. A lower barge fraction indicates better priority enforcement.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760"/>
        <w:gridCol w:w="1760"/>
        <w:gridCol w:w="3440"/>
      </w:tblGrid>
      <w:tr>
        <w:trPr>
          <w:tblHeader/>
        </w:trPr>
        <w:tc>
          <w:tcPr>
            <w:tcW w:type="dxa" w:w="240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176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TaktOS</w:t>
            </w:r>
          </w:p>
        </w:tc>
        <w:tc>
          <w:tcPr>
            <w:tcW w:type="dxa" w:w="176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FreeRTOS</w:t>
            </w:r>
          </w:p>
        </w:tc>
        <w:tc>
          <w:tcPr>
            <w:tcW w:type="dxa" w:w="344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ThreadX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Worker ops (30 s)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18,586,328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6,956,719</w:t>
            </w:r>
          </w:p>
        </w:tc>
        <w:tc>
          <w:tcPr>
            <w:tcW w:type="dxa" w:w="3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9,814,246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Barge fraction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0.006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0.016</w:t>
            </w:r>
          </w:p>
        </w:tc>
        <w:tc>
          <w:tcPr>
            <w:tcW w:type="dxa" w:w="3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0.012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Worker fairness ratio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1.000 (exact)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0.999</w:t>
            </w:r>
          </w:p>
        </w:tc>
        <w:tc>
          <w:tcPr>
            <w:tcW w:type="dxa" w:w="3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0.999</w:t>
            </w:r>
          </w:p>
        </w:tc>
      </w:tr>
    </w:tbl>
    <w:p>
      <w:pPr>
        <w:spacing w:after="80" w:before="0"/>
      </w:pPr>
      <w:r>
        <w:t xml:space="preserve"/>
      </w:r>
    </w:p>
    <w:p>
      <w:pPr>
        <w:spacing w:after="60" w:before="60"/>
      </w:pPr>
      <w:r>
        <w:t xml:space="preserve">TaktOS barge fraction 0.006 is 2.7× lower than FreeRTOS (0.016) and 2.0× lower than ThreadX (0.012). This indicates stronger priority enforcement. Worker throughput is +164% over FreeRTOS and +88% over ThreadX.</w:t>
      </w:r>
    </w:p>
    <w:p>
      <w:pPr>
        <w:pStyle w:val="Heading1"/>
        <w:pBdr>
          <w:bottom w:val="single" w:color="2B6CB0" w:sz="6" w:space="4"/>
        </w:pBdr>
        <w:spacing w:after="160" w:before="400"/>
      </w:pPr>
      <w:r>
        <w:rPr>
          <w:color w:val="1F3A6E"/>
        </w:rPr>
        <w:t xml:space="preserve">4.  nRF52832 Results — Cortex-M4 @ 64 MHz</w:t>
      </w:r>
    </w:p>
    <w:p>
      <w:pPr>
        <w:spacing w:after="60" w:before="60"/>
      </w:pPr>
      <w:r>
        <w:t xml:space="preserve">All three RTOSes measured with identical build flags on the same board. FreeRTOS TM2 produced determinism errors on every window.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1600"/>
        <w:gridCol w:w="1600"/>
        <w:gridCol w:w="1200"/>
        <w:gridCol w:w="1160"/>
      </w:tblGrid>
      <w:tr>
        <w:trPr>
          <w:tblHeader/>
        </w:trPr>
        <w:tc>
          <w:tcPr>
            <w:tcW w:type="dxa" w:w="220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60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TaktOS</w:t>
            </w:r>
          </w:p>
        </w:tc>
        <w:tc>
          <w:tcPr>
            <w:tcW w:type="dxa" w:w="160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FreeRTOS</w:t>
            </w:r>
          </w:p>
        </w:tc>
        <w:tc>
          <w:tcPr>
            <w:tcW w:type="dxa" w:w="160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ThreadX</w:t>
            </w:r>
          </w:p>
        </w:tc>
        <w:tc>
          <w:tcPr>
            <w:tcW w:type="dxa" w:w="120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vs FR</w:t>
            </w:r>
          </w:p>
        </w:tc>
        <w:tc>
          <w:tcPr>
            <w:tcW w:type="dxa" w:w="116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vs TX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TM1 Basic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143,765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124,608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124,641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+15%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+15%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TM2 Cooperative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13,823,020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8,369,345⚠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10,497,840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+65%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+32%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TM3 Preemptive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4,793,897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2,380,390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4,354,376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+101%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+10%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TM6 Message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8,952,189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2,158,116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6,564,371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+315%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+36%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TM7 Synchronization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20,381,897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3,910,892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14,632,422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+421%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+39%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TM8 Mutex Fairness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6,916,236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2,421,976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3,693,281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+186%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+87%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Mutex Barging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6,633,486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2,269,980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3,582,246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+192%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+85%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Bdr>
          <w:left w:val="single" w:color="2B6CB0" w:sz="12" w:space="4"/>
        </w:pBdr>
        <w:shd w:fill="E8F0FB" w:val="clear"/>
        <w:spacing w:after="120" w:before="120"/>
        <w:ind w:left="200"/>
      </w:pPr>
      <w:r>
        <w:rPr>
          <w:b/>
          <w:bCs/>
          <w:color w:val="2B6CB0"/>
        </w:rPr>
        <w:t xml:space="preserve">NOTE  </w:t>
      </w:r>
      <w:r>
        <w:t xml:space="preserve">nRF52832 lacks an instruction cache. Flash wait states account for the larger gap vs the nRF54L15 M33 results. The scheduler algorithm is identical on both boards; the performance difference is entirely hardware-driven.</w:t>
      </w:r>
    </w:p>
    <w:p>
      <w:pPr>
        <w:spacing w:after="160" w:before="0"/>
      </w:pPr>
      <w:r>
        <w:t xml:space="preserve"/>
      </w:r>
    </w:p>
    <w:p>
      <w:pPr>
        <w:pStyle w:val="Heading2"/>
        <w:spacing w:after="100" w:before="280"/>
      </w:pPr>
      <w:r>
        <w:rPr>
          <w:color w:val="2B6CB0"/>
        </w:rPr>
        <w:t xml:space="preserve">4.1  TaktOS cross-target comparison (M33 vs M4)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80"/>
        <w:gridCol w:w="2480"/>
        <w:gridCol w:w="2000"/>
      </w:tblGrid>
      <w:tr>
        <w:trPr>
          <w:tblHeader/>
        </w:trPr>
        <w:tc>
          <w:tcPr>
            <w:tcW w:type="dxa" w:w="240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248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nRF54L15 M33 (128 MHz)</w:t>
            </w:r>
          </w:p>
        </w:tc>
        <w:tc>
          <w:tcPr>
            <w:tcW w:type="dxa" w:w="248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nRF52832 M4 (64 MHz)</w:t>
            </w:r>
          </w:p>
        </w:tc>
        <w:tc>
          <w:tcPr>
            <w:tcW w:type="dxa" w:w="200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Ratio M33/M4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TM7 Synchronization</w:t>
            </w:r>
          </w:p>
        </w:tc>
        <w:tc>
          <w:tcPr>
            <w:tcW w:type="dxa" w:w="2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59,959,247</w:t>
            </w:r>
          </w:p>
        </w:tc>
        <w:tc>
          <w:tcPr>
            <w:tcW w:type="dxa" w:w="2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20,381,897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2.94×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TM6 Message</w:t>
            </w:r>
          </w:p>
        </w:tc>
        <w:tc>
          <w:tcPr>
            <w:tcW w:type="dxa" w:w="2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27,410,576</w:t>
            </w:r>
          </w:p>
        </w:tc>
        <w:tc>
          <w:tcPr>
            <w:tcW w:type="dxa" w:w="2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8,952,189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3.06×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TM3 Preemptive</w:t>
            </w:r>
          </w:p>
        </w:tc>
        <w:tc>
          <w:tcPr>
            <w:tcW w:type="dxa" w:w="2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13,069,763</w:t>
            </w:r>
          </w:p>
        </w:tc>
        <w:tc>
          <w:tcPr>
            <w:tcW w:type="dxa" w:w="2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4,793,897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2.73×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TM2 Cooperative</w:t>
            </w:r>
          </w:p>
        </w:tc>
        <w:tc>
          <w:tcPr>
            <w:tcW w:type="dxa" w:w="2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35,533,469</w:t>
            </w:r>
          </w:p>
        </w:tc>
        <w:tc>
          <w:tcPr>
            <w:tcW w:type="dxa" w:w="2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13,823,020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2.57×</w:t>
            </w:r>
          </w:p>
        </w:tc>
      </w:tr>
    </w:tbl>
    <w:p>
      <w:pPr>
        <w:spacing w:after="80" w:before="0"/>
      </w:pPr>
      <w:r>
        <w:t xml:space="preserve"/>
      </w:r>
    </w:p>
    <w:p>
      <w:pPr>
        <w:spacing w:after="60" w:before="60"/>
      </w:pPr>
      <w:r>
        <w:t xml:space="preserve">The M33 advantage is 2.6–3.1× across scheduler-bound tests, above the 2× clock ratio. The nRF54L15 M33 instruction cache eliminates the flash wait states that penalise the nRF52832 M4. ThreadX TM7 on M4 confirmed at 14,632,422.</w:t>
      </w:r>
    </w:p>
    <w:p>
      <w:pPr>
        <w:spacing w:after="120" w:before="0"/>
      </w:pPr>
      <w:r>
        <w:t xml:space="preserve"/>
      </w:r>
    </w:p>
    <w:p>
      <w:pPr>
        <w:pStyle w:val="Heading2"/>
        <w:spacing w:after="100" w:before="280"/>
      </w:pPr>
      <w:r>
        <w:rPr>
          <w:color w:val="2B6CB0"/>
        </w:rPr>
        <w:t xml:space="preserve">4.2  Effect of TAKTOS_INLINE_OPTIMIZATION</w:t>
      </w:r>
    </w:p>
    <w:p>
      <w:pPr>
        <w:spacing w:after="60" w:before="60"/>
      </w:pPr>
      <w:r>
        <w:t xml:space="preserve">The TAKTOS_INLINE_OPTIMIZATION define forces TAKT_ALWAYS_INLINE on the semaphore, mutex, and queue fast paths. Removing it reverts those to regular function calls, adding BL/BX overhead and register save/restore at each call site. The table below shows the measured impact on nRF52832 at steady state.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40"/>
        <w:gridCol w:w="1440"/>
        <w:gridCol w:w="760"/>
        <w:gridCol w:w="1440"/>
        <w:gridCol w:w="1440"/>
        <w:gridCol w:w="760"/>
      </w:tblGrid>
      <w:tr>
        <w:trPr>
          <w:tblHeader/>
        </w:trPr>
        <w:tc>
          <w:tcPr>
            <w:tcW w:type="dxa" w:w="180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44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nRF52832 M4  With</w:t>
            </w:r>
          </w:p>
        </w:tc>
        <w:tc>
          <w:tcPr>
            <w:tcW w:type="dxa" w:w="144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nRF52832 M4  Without</w:t>
            </w:r>
          </w:p>
        </w:tc>
        <w:tc>
          <w:tcPr>
            <w:tcW w:type="dxa" w:w="76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M4 Δ</w:t>
            </w:r>
          </w:p>
        </w:tc>
        <w:tc>
          <w:tcPr>
            <w:tcW w:type="dxa" w:w="144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nRF54L15 M33  With</w:t>
            </w:r>
          </w:p>
        </w:tc>
        <w:tc>
          <w:tcPr>
            <w:tcW w:type="dxa" w:w="144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nRF54L15 M33  Without</w:t>
            </w:r>
          </w:p>
        </w:tc>
        <w:tc>
          <w:tcPr>
            <w:tcW w:type="dxa" w:w="76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M33 Δ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TM6 Message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8,952,189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7,663,774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−14.4%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27,608,741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22,310,845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−19.2%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TM7 Synchronization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20,381,897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15,203,494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−25.4%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59,961,406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43,116,795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−28.1%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Bdr>
          <w:left w:val="single" w:color="2B6CB0" w:sz="12" w:space="4"/>
        </w:pBdr>
        <w:shd w:fill="E8F0FB" w:val="clear"/>
        <w:spacing w:after="120" w:before="120"/>
        <w:ind w:left="200"/>
      </w:pPr>
      <w:r>
        <w:rPr>
          <w:b/>
          <w:bCs/>
          <w:color w:val="2B6CB0"/>
        </w:rPr>
        <w:t xml:space="preserve">NOTE  </w:t>
      </w:r>
      <w:r>
        <w:t xml:space="preserve">TM7 is affected more than TM6 on both boards — semaphore give/take is the entire workload, so every operation pays the BL/BX overhead when the fast paths are not inlined. The M33 (nRF54L15) takes a larger penalty than the M4 (nRF52832): the M33 instruction cache hides flash wait states, making the branch overhead proportionally more expensive relative to the rest of the work. For certification builds where TAKT_ALWAYS_INLINE is disabled to improve MC/DC tractability, the expected performance is the ‘Without’ column.</w:t>
      </w:r>
    </w:p>
    <w:p>
      <w:pPr>
        <w:pStyle w:val="Heading1"/>
        <w:pBdr>
          <w:bottom w:val="single" w:color="2B6CB0" w:sz="6" w:space="4"/>
        </w:pBdr>
        <w:spacing w:after="160" w:before="400"/>
      </w:pPr>
      <w:r>
        <w:rPr>
          <w:color w:val="1F3A6E"/>
        </w:rPr>
        <w:t xml:space="preserve">6.  Certification Posture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656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Details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Certification target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IEC 61508 SIL 2 as SEooC. Path to ISO 26262 ASIL D via gap analysis.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Cert boundary LOC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∼1,500 LOC (portable C++23 kernel + ARM Thumb-2 assembly). Small enough for full MC/DC coverage in weeks.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Static allocation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No heap in any cert-boundary path. Deterministic timing by construction.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POSIX PSE51 layer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QM (outside cert boundary). POSIX layer maps onto certified kernel primitives.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Comparison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FreeRTOS cert estimated $2–4M. Zephyr $5M+. TaktOS: $600K–1.0M (dual-arch SIL 2 with ARM + RISC-V).</w:t>
            </w:r>
          </w:p>
        </w:tc>
      </w:tr>
    </w:tbl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666666"/>
        <w:sz w:val="16"/>
        <w:szCs w:val="16"/>
      </w:rPr>
      <w:t xml:space="preserve">TaktOS Performance Benchmark Report  |  Rev 3.0  |  I-SYST inc.  |  CONFIDENTIAL        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11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2026-04-17T12:31:16.347Z</dcterms:created>
  <dcterms:modified xsi:type="dcterms:W3CDTF">2026-04-17T12:31:16.347Z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