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D32" w:rsidRPr="003D0B30" w:rsidRDefault="00301D32" w:rsidP="00301D32">
      <w:pPr>
        <w:pStyle w:val="Heading2"/>
        <w:rPr>
          <w:rStyle w:val="figurelabel"/>
          <w:rFonts w:cstheme="majorBidi"/>
          <w:b w:val="0"/>
          <w:bCs w:val="0"/>
          <w:noProof w:val="0"/>
        </w:rPr>
      </w:pPr>
      <w:bookmarkStart w:id="0" w:name="_Toc159667747"/>
      <w:r w:rsidRPr="003D0B30">
        <w:rPr>
          <w:rStyle w:val="figurelabel"/>
        </w:rPr>
        <w:t>Lab 9-01: Azure Resource Locks</w:t>
      </w:r>
      <w:bookmarkEnd w:id="0"/>
    </w:p>
    <w:p w:rsidR="00301D32" w:rsidRPr="003D0B30" w:rsidRDefault="00301D32" w:rsidP="00301D32">
      <w:pPr>
        <w:pStyle w:val="Heading3"/>
      </w:pPr>
      <w:bookmarkStart w:id="1" w:name="_Toc159667748"/>
      <w:r w:rsidRPr="003D0B30">
        <w:t>Service Introduction</w:t>
      </w:r>
      <w:bookmarkEnd w:id="1"/>
    </w:p>
    <w:p w:rsidR="00301D32" w:rsidRPr="003D0B30" w:rsidRDefault="00301D32" w:rsidP="00301D32">
      <w:pPr>
        <w:rPr>
          <w:szCs w:val="20"/>
        </w:rPr>
      </w:pPr>
      <w:r w:rsidRPr="003D0B30">
        <w:rPr>
          <w:szCs w:val="20"/>
        </w:rPr>
        <w:t>Acme Software, a rapidly growing software development company, embraced the cloud for its infrastructure. However, their agile development process resulted in concerns about accidental deletions or modifications of critical resources, potentially causing outages and data loss. They needed a way to prevent human error while still enabling agile development.</w:t>
      </w:r>
    </w:p>
    <w:p w:rsidR="00301D32" w:rsidRPr="003D0B30" w:rsidRDefault="00301D32" w:rsidP="00301D32">
      <w:pPr>
        <w:pStyle w:val="Heading3"/>
      </w:pPr>
      <w:bookmarkStart w:id="2" w:name="_Toc159667749"/>
      <w:r w:rsidRPr="003D0B30">
        <w:t>Problem</w:t>
      </w:r>
      <w:bookmarkEnd w:id="2"/>
    </w:p>
    <w:p w:rsidR="00301D32" w:rsidRPr="003D0B30" w:rsidRDefault="00301D32" w:rsidP="00301D32">
      <w:pPr>
        <w:rPr>
          <w:szCs w:val="20"/>
        </w:rPr>
      </w:pPr>
      <w:r w:rsidRPr="003D0B30">
        <w:rPr>
          <w:szCs w:val="20"/>
        </w:rPr>
        <w:t>The fast-paced environment led to accidental resource deletions or modifications by developers, causing service disruptions and costly downtime. Lack of control over resource configuration raised compliance concerns and made it difficult to enforce internal security policies consistently.</w:t>
      </w:r>
    </w:p>
    <w:p w:rsidR="00301D32" w:rsidRPr="003D0B30" w:rsidRDefault="00301D32" w:rsidP="00301D32">
      <w:pPr>
        <w:pStyle w:val="Heading3"/>
      </w:pPr>
      <w:bookmarkStart w:id="3" w:name="_Toc159667750"/>
      <w:r w:rsidRPr="003D0B30">
        <w:t>Solution</w:t>
      </w:r>
      <w:bookmarkEnd w:id="3"/>
    </w:p>
    <w:p w:rsidR="00301D32" w:rsidRPr="003D0B30" w:rsidRDefault="00301D32" w:rsidP="00301D32">
      <w:pPr>
        <w:rPr>
          <w:szCs w:val="20"/>
        </w:rPr>
      </w:pPr>
      <w:r w:rsidRPr="003D0B30">
        <w:rPr>
          <w:szCs w:val="20"/>
        </w:rPr>
        <w:t>Acme Software's success story showcases the power of Azure Resource Lock for cloud-based companies prioritizing both agility and security. By introducing preventive measures, granular control, and seamless integration, Acme achieved peace of mind knowing its infrastructure was protected from accidental disruptions while still empowering its developers to innovate.</w:t>
      </w:r>
    </w:p>
    <w:tbl>
      <w:tblPr>
        <w:tblStyle w:val="TableGrid"/>
        <w:tblW w:w="0" w:type="auto"/>
        <w:tblLook w:val="04A0" w:firstRow="1" w:lastRow="0" w:firstColumn="1" w:lastColumn="0" w:noHBand="0" w:noVBand="1"/>
      </w:tblPr>
      <w:tblGrid>
        <w:gridCol w:w="9016"/>
      </w:tblGrid>
      <w:tr w:rsidR="00301D32" w:rsidRPr="003D0B30" w:rsidTr="00C10439">
        <w:tc>
          <w:tcPr>
            <w:tcW w:w="9350" w:type="dxa"/>
            <w:shd w:val="clear" w:color="auto" w:fill="F2F2F2" w:themeFill="background1" w:themeFillShade="F2"/>
          </w:tcPr>
          <w:p w:rsidR="00301D32" w:rsidRPr="003D0B30" w:rsidRDefault="00301D32" w:rsidP="00C10439">
            <w:r w:rsidRPr="003D0B30">
              <w:t xml:space="preserve">1. Log in to the </w:t>
            </w:r>
            <w:r w:rsidRPr="003D0B30">
              <w:rPr>
                <w:b/>
              </w:rPr>
              <w:t>Azure Portal</w:t>
            </w:r>
            <w:r w:rsidRPr="003D0B30">
              <w:t xml:space="preserve"> using your credentials. </w:t>
            </w:r>
          </w:p>
          <w:p w:rsidR="00301D32" w:rsidRPr="003D0B30" w:rsidRDefault="00301D32" w:rsidP="00C10439">
            <w:pPr>
              <w:rPr>
                <w:b/>
              </w:rPr>
            </w:pPr>
            <w:r w:rsidRPr="003D0B30">
              <w:rPr>
                <w:b/>
              </w:rPr>
              <w:t>Azure RBAC Role Assignment</w:t>
            </w:r>
          </w:p>
          <w:p w:rsidR="00301D32" w:rsidRPr="003D0B30" w:rsidRDefault="00301D32" w:rsidP="00C10439">
            <w:r w:rsidRPr="003D0B30">
              <w:t xml:space="preserve">2. From the portal home page, search and open </w:t>
            </w:r>
            <w:r w:rsidRPr="003D0B30">
              <w:rPr>
                <w:b/>
              </w:rPr>
              <w:t>Resource groups.</w:t>
            </w:r>
            <w:r w:rsidRPr="003D0B30">
              <w:t xml:space="preserve"> </w:t>
            </w:r>
          </w:p>
          <w:p w:rsidR="00301D32" w:rsidRPr="003D0B30" w:rsidRDefault="00301D32" w:rsidP="00C10439">
            <w:pPr>
              <w:jc w:val="center"/>
            </w:pPr>
            <w:r w:rsidRPr="003D0B30">
              <w:rPr>
                <w:noProof/>
                <w:lang w:eastAsia="en-US"/>
              </w:rPr>
              <w:drawing>
                <wp:inline distT="0" distB="0" distL="0" distR="0" wp14:anchorId="349C5D79" wp14:editId="6DBAC6F7">
                  <wp:extent cx="5429250" cy="2734884"/>
                  <wp:effectExtent l="19050" t="19050" r="19050"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725" t="27366" r="29327" b="34151"/>
                          <a:stretch/>
                        </pic:blipFill>
                        <pic:spPr bwMode="auto">
                          <a:xfrm>
                            <a:off x="0" y="0"/>
                            <a:ext cx="5439535" cy="27400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1D32" w:rsidRPr="003D0B30" w:rsidRDefault="00301D32" w:rsidP="00C10439">
            <w:r w:rsidRPr="003D0B30">
              <w:t xml:space="preserve">3. A list of resource groups will appear; click on your </w:t>
            </w:r>
            <w:r w:rsidRPr="003D0B30">
              <w:rPr>
                <w:b/>
              </w:rPr>
              <w:t>resource group.</w:t>
            </w:r>
          </w:p>
          <w:p w:rsidR="00301D32" w:rsidRPr="003D0B30" w:rsidRDefault="00301D32" w:rsidP="00C10439">
            <w:pPr>
              <w:jc w:val="center"/>
            </w:pPr>
            <w:r w:rsidRPr="003D0B30">
              <w:rPr>
                <w:noProof/>
                <w:lang w:eastAsia="en-US"/>
              </w:rPr>
              <w:lastRenderedPageBreak/>
              <w:drawing>
                <wp:inline distT="0" distB="0" distL="0" distR="0" wp14:anchorId="316FF408" wp14:editId="2EF1ABF4">
                  <wp:extent cx="5381625" cy="4051803"/>
                  <wp:effectExtent l="19050" t="19050" r="952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404" t="26226" r="31090" b="18187"/>
                          <a:stretch/>
                        </pic:blipFill>
                        <pic:spPr bwMode="auto">
                          <a:xfrm>
                            <a:off x="0" y="0"/>
                            <a:ext cx="5390718" cy="40586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1D32" w:rsidRPr="003D0B30" w:rsidRDefault="00301D32" w:rsidP="00C10439">
            <w:r w:rsidRPr="003D0B30">
              <w:t xml:space="preserve">4. From the overview page of your resource group, click on </w:t>
            </w:r>
            <w:r w:rsidRPr="003D0B30">
              <w:rPr>
                <w:b/>
              </w:rPr>
              <w:t>Access control (IAM).</w:t>
            </w:r>
            <w:r w:rsidRPr="003D0B30">
              <w:t xml:space="preserve"> </w:t>
            </w:r>
          </w:p>
          <w:p w:rsidR="00301D32" w:rsidRPr="003D0B30" w:rsidRDefault="00301D32" w:rsidP="00C10439">
            <w:pPr>
              <w:jc w:val="center"/>
            </w:pPr>
            <w:r w:rsidRPr="003D0B30">
              <w:rPr>
                <w:noProof/>
                <w:lang w:eastAsia="en-US"/>
              </w:rPr>
              <w:drawing>
                <wp:inline distT="0" distB="0" distL="0" distR="0" wp14:anchorId="085E6957" wp14:editId="28FBDCD7">
                  <wp:extent cx="5381625" cy="3492979"/>
                  <wp:effectExtent l="19050" t="19050" r="9525"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404" t="34493" r="30128" b="16476"/>
                          <a:stretch/>
                        </pic:blipFill>
                        <pic:spPr bwMode="auto">
                          <a:xfrm>
                            <a:off x="0" y="0"/>
                            <a:ext cx="5388924" cy="34977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1D32" w:rsidRPr="003D0B30" w:rsidRDefault="00301D32" w:rsidP="00C10439">
            <w:r w:rsidRPr="003D0B30">
              <w:t xml:space="preserve">5. Inside the Role section, click on view to see the </w:t>
            </w:r>
            <w:r w:rsidRPr="003D0B30">
              <w:rPr>
                <w:b/>
              </w:rPr>
              <w:t>Contributor role.</w:t>
            </w:r>
            <w:r w:rsidRPr="003D0B30">
              <w:t xml:space="preserve"> </w:t>
            </w:r>
          </w:p>
          <w:p w:rsidR="00301D32" w:rsidRPr="003D0B30" w:rsidRDefault="00301D32" w:rsidP="00C10439">
            <w:pPr>
              <w:jc w:val="center"/>
            </w:pPr>
            <w:r w:rsidRPr="003D0B30">
              <w:rPr>
                <w:noProof/>
                <w:lang w:eastAsia="en-US"/>
              </w:rPr>
              <w:lastRenderedPageBreak/>
              <w:drawing>
                <wp:inline distT="0" distB="0" distL="0" distR="0" wp14:anchorId="6153DA5A" wp14:editId="68EC9C03">
                  <wp:extent cx="5391150" cy="3677534"/>
                  <wp:effectExtent l="19050" t="19050" r="1905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243" t="33638" r="27885" b="11916"/>
                          <a:stretch/>
                        </pic:blipFill>
                        <pic:spPr bwMode="auto">
                          <a:xfrm>
                            <a:off x="0" y="0"/>
                            <a:ext cx="5391150" cy="36775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1D32" w:rsidRPr="003D0B30" w:rsidRDefault="00301D32" w:rsidP="00C10439">
            <w:r w:rsidRPr="003D0B30">
              <w:t>6. Analyze the available permissions.</w:t>
            </w:r>
          </w:p>
          <w:p w:rsidR="00301D32" w:rsidRPr="003D0B30" w:rsidRDefault="00301D32" w:rsidP="00C10439">
            <w:pPr>
              <w:jc w:val="center"/>
            </w:pPr>
            <w:r w:rsidRPr="003D0B30">
              <w:rPr>
                <w:noProof/>
                <w:lang w:eastAsia="en-US"/>
              </w:rPr>
              <w:lastRenderedPageBreak/>
              <w:drawing>
                <wp:inline distT="0" distB="0" distL="0" distR="0" wp14:anchorId="582A1FD1" wp14:editId="63137103">
                  <wp:extent cx="5281831" cy="5319712"/>
                  <wp:effectExtent l="19050" t="19050" r="14605" b="146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25" t="10521" r="37980" b="5643"/>
                          <a:stretch/>
                        </pic:blipFill>
                        <pic:spPr bwMode="auto">
                          <a:xfrm>
                            <a:off x="0" y="0"/>
                            <a:ext cx="5293715" cy="53316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1D32" w:rsidRPr="003D0B30" w:rsidRDefault="00301D32" w:rsidP="00C10439">
            <w:pPr>
              <w:rPr>
                <w:b/>
              </w:rPr>
            </w:pPr>
            <w:r w:rsidRPr="003D0B30">
              <w:rPr>
                <w:b/>
              </w:rPr>
              <w:t>Manage Resource Locks</w:t>
            </w:r>
          </w:p>
          <w:p w:rsidR="00301D32" w:rsidRPr="003D0B30" w:rsidRDefault="00301D32" w:rsidP="00C10439">
            <w:r w:rsidRPr="003D0B30">
              <w:t xml:space="preserve">7. To understand the Lock feature provided by resource groups, go to your resource group from the main menu and open its overview pane. </w:t>
            </w:r>
          </w:p>
          <w:p w:rsidR="00301D32" w:rsidRPr="003D0B30" w:rsidRDefault="00301D32" w:rsidP="00C10439">
            <w:r w:rsidRPr="003D0B30">
              <w:t xml:space="preserve">8. After that, click on </w:t>
            </w:r>
            <w:r w:rsidRPr="003D0B30">
              <w:rPr>
                <w:b/>
              </w:rPr>
              <w:t>Lock</w:t>
            </w:r>
            <w:r w:rsidRPr="003D0B30">
              <w:t xml:space="preserve"> present under the </w:t>
            </w:r>
            <w:r w:rsidRPr="003D0B30">
              <w:rPr>
                <w:b/>
              </w:rPr>
              <w:t xml:space="preserve">Settings </w:t>
            </w:r>
            <w:r w:rsidRPr="003D0B30">
              <w:t xml:space="preserve">section. </w:t>
            </w:r>
          </w:p>
          <w:p w:rsidR="00301D32" w:rsidRPr="003D0B30" w:rsidRDefault="00301D32" w:rsidP="00C10439">
            <w:pPr>
              <w:jc w:val="center"/>
            </w:pPr>
            <w:r w:rsidRPr="003D0B30">
              <w:rPr>
                <w:noProof/>
                <w:lang w:eastAsia="en-US"/>
              </w:rPr>
              <w:lastRenderedPageBreak/>
              <w:drawing>
                <wp:inline distT="0" distB="0" distL="0" distR="0" wp14:anchorId="7BE362FE" wp14:editId="5D59A17C">
                  <wp:extent cx="4514850" cy="3483367"/>
                  <wp:effectExtent l="19050" t="19050" r="19050" b="222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404" t="29076" r="29808" b="12201"/>
                          <a:stretch/>
                        </pic:blipFill>
                        <pic:spPr bwMode="auto">
                          <a:xfrm>
                            <a:off x="0" y="0"/>
                            <a:ext cx="4522324" cy="34891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1D32" w:rsidRPr="003D0B30" w:rsidRDefault="00301D32" w:rsidP="00C10439">
            <w:r w:rsidRPr="003D0B30">
              <w:t xml:space="preserve">9. Specify the lock name, and to prevent the deletion of your resource group, you should set </w:t>
            </w:r>
            <w:r w:rsidRPr="003D0B30">
              <w:rPr>
                <w:b/>
              </w:rPr>
              <w:t xml:space="preserve">Delete </w:t>
            </w:r>
            <w:r w:rsidRPr="003D0B30">
              <w:t xml:space="preserve">lock. Click on </w:t>
            </w:r>
            <w:r w:rsidRPr="003D0B30">
              <w:rPr>
                <w:b/>
              </w:rPr>
              <w:t>OK.</w:t>
            </w:r>
            <w:r w:rsidRPr="003D0B30">
              <w:t xml:space="preserve"> </w:t>
            </w:r>
          </w:p>
          <w:p w:rsidR="00301D32" w:rsidRPr="003D0B30" w:rsidRDefault="00301D32" w:rsidP="00C10439">
            <w:pPr>
              <w:jc w:val="center"/>
            </w:pPr>
            <w:r w:rsidRPr="003D0B30">
              <w:rPr>
                <w:noProof/>
                <w:lang w:eastAsia="en-US"/>
              </w:rPr>
              <w:drawing>
                <wp:inline distT="0" distB="0" distL="0" distR="0" wp14:anchorId="5294EB96" wp14:editId="361EB5A8">
                  <wp:extent cx="4581525" cy="3179349"/>
                  <wp:effectExtent l="19050" t="19050" r="9525" b="2159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564" t="32782" r="27404" b="11631"/>
                          <a:stretch/>
                        </pic:blipFill>
                        <pic:spPr bwMode="auto">
                          <a:xfrm>
                            <a:off x="0" y="0"/>
                            <a:ext cx="4599163" cy="31915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1D32" w:rsidRPr="003D0B30" w:rsidRDefault="00301D32" w:rsidP="00C10439">
            <w:r w:rsidRPr="003D0B30">
              <w:rPr>
                <w:b/>
              </w:rPr>
              <w:t>Note:</w:t>
            </w:r>
            <w:r w:rsidRPr="003D0B30">
              <w:t xml:space="preserve"> You need to specify the notes to enable it. </w:t>
            </w:r>
          </w:p>
          <w:p w:rsidR="00301D32" w:rsidRPr="003D0B30" w:rsidRDefault="00301D32" w:rsidP="00C10439">
            <w:r w:rsidRPr="003D0B30">
              <w:t xml:space="preserve">10. You will see that </w:t>
            </w:r>
            <w:r>
              <w:t xml:space="preserve">the </w:t>
            </w:r>
            <w:r w:rsidRPr="003D0B30">
              <w:t>lock has been successfully created.</w:t>
            </w:r>
          </w:p>
          <w:p w:rsidR="00301D32" w:rsidRPr="003D0B30" w:rsidRDefault="00301D32" w:rsidP="00C10439">
            <w:pPr>
              <w:jc w:val="center"/>
            </w:pPr>
            <w:r w:rsidRPr="003D0B30">
              <w:rPr>
                <w:noProof/>
                <w:lang w:eastAsia="en-US"/>
              </w:rPr>
              <w:lastRenderedPageBreak/>
              <w:drawing>
                <wp:inline distT="0" distB="0" distL="0" distR="0" wp14:anchorId="532BB18A" wp14:editId="4E46EE39">
                  <wp:extent cx="4886325" cy="2388869"/>
                  <wp:effectExtent l="19050" t="19050" r="9525" b="1206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564" t="41049" r="29166" b="21323"/>
                          <a:stretch/>
                        </pic:blipFill>
                        <pic:spPr bwMode="auto">
                          <a:xfrm>
                            <a:off x="0" y="0"/>
                            <a:ext cx="4895984" cy="23935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1D32" w:rsidRPr="003D0B30" w:rsidRDefault="00301D32" w:rsidP="00C10439">
            <w:r w:rsidRPr="003D0B30">
              <w:t xml:space="preserve">11. To verify this lock, go to the overview page of your resource group and click on Delete resource group. </w:t>
            </w:r>
          </w:p>
          <w:p w:rsidR="00301D32" w:rsidRPr="003D0B30" w:rsidRDefault="00301D32" w:rsidP="00C10439">
            <w:pPr>
              <w:jc w:val="center"/>
            </w:pPr>
            <w:r w:rsidRPr="003D0B30">
              <w:rPr>
                <w:noProof/>
                <w:lang w:eastAsia="en-US"/>
              </w:rPr>
              <w:drawing>
                <wp:inline distT="0" distB="0" distL="0" distR="0" wp14:anchorId="122DDA8D" wp14:editId="0425FE89">
                  <wp:extent cx="5048250" cy="2877149"/>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564" t="38199" r="26602" b="15336"/>
                          <a:stretch/>
                        </pic:blipFill>
                        <pic:spPr bwMode="auto">
                          <a:xfrm>
                            <a:off x="0" y="0"/>
                            <a:ext cx="5059113" cy="28833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1D32" w:rsidRPr="003D0B30" w:rsidRDefault="00301D32" w:rsidP="00C10439">
            <w:r w:rsidRPr="003D0B30">
              <w:t xml:space="preserve">12. Try to delete the resource group and check whether the lock feature is working or not. </w:t>
            </w:r>
          </w:p>
          <w:p w:rsidR="00301D32" w:rsidRPr="003D0B30" w:rsidRDefault="00301D32" w:rsidP="00C10439">
            <w:pPr>
              <w:jc w:val="center"/>
            </w:pPr>
            <w:r w:rsidRPr="003D0B30">
              <w:rPr>
                <w:noProof/>
                <w:lang w:eastAsia="en-US"/>
              </w:rPr>
              <w:lastRenderedPageBreak/>
              <w:drawing>
                <wp:inline distT="0" distB="0" distL="0" distR="0" wp14:anchorId="40A280CC" wp14:editId="3533E056">
                  <wp:extent cx="4791075" cy="4897072"/>
                  <wp:effectExtent l="19050" t="19050" r="9525" b="184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891" t="25656" r="31891" b="8495"/>
                          <a:stretch/>
                        </pic:blipFill>
                        <pic:spPr bwMode="auto">
                          <a:xfrm>
                            <a:off x="0" y="0"/>
                            <a:ext cx="4793242" cy="4899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1D32" w:rsidRPr="003D0B30" w:rsidRDefault="00301D32" w:rsidP="00C10439">
            <w:r w:rsidRPr="003D0B30">
              <w:t xml:space="preserve">13. The following notice should appear. </w:t>
            </w:r>
          </w:p>
          <w:p w:rsidR="00301D32" w:rsidRPr="003D0B30" w:rsidRDefault="00301D32" w:rsidP="00C10439">
            <w:pPr>
              <w:jc w:val="center"/>
            </w:pPr>
            <w:r w:rsidRPr="003D0B30">
              <w:rPr>
                <w:noProof/>
                <w:lang w:eastAsia="en-US"/>
              </w:rPr>
              <w:drawing>
                <wp:inline distT="0" distB="0" distL="0" distR="0" wp14:anchorId="22320EFF" wp14:editId="7576189C">
                  <wp:extent cx="4981575" cy="2285868"/>
                  <wp:effectExtent l="19050" t="19050" r="9525" b="1968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580" t="10307" r="38662" b="58057"/>
                          <a:stretch/>
                        </pic:blipFill>
                        <pic:spPr bwMode="auto">
                          <a:xfrm>
                            <a:off x="0" y="0"/>
                            <a:ext cx="4990787" cy="22900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rsidR="00D4038D" w:rsidRDefault="00D4038D" w:rsidP="00301D32"/>
    <w:p w:rsidR="00301D32" w:rsidRPr="003D0B30" w:rsidRDefault="00301D32" w:rsidP="00301D32">
      <w:pPr>
        <w:pStyle w:val="Heading2"/>
      </w:pPr>
      <w:bookmarkStart w:id="4" w:name="_Toc159667758"/>
      <w:bookmarkStart w:id="5" w:name="_GoBack"/>
      <w:bookmarkEnd w:id="5"/>
      <w:r w:rsidRPr="003D0B30">
        <w:t>Demo 9-01: Azure Monitor</w:t>
      </w:r>
      <w:bookmarkEnd w:id="4"/>
    </w:p>
    <w:p w:rsidR="00301D32" w:rsidRPr="003D0B30" w:rsidRDefault="00301D32" w:rsidP="00301D32">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2F2F2" w:themeFill="background1" w:themeFillShade="F2"/>
      </w:pPr>
      <w:r w:rsidRPr="003D0B30">
        <w:t>Login to Azure Portal and go to “</w:t>
      </w:r>
      <w:r w:rsidRPr="003D0B30">
        <w:rPr>
          <w:b/>
          <w:bCs/>
        </w:rPr>
        <w:t>Monitor.</w:t>
      </w:r>
      <w:r w:rsidRPr="003D0B30">
        <w:t>”</w:t>
      </w:r>
    </w:p>
    <w:p w:rsidR="00301D32" w:rsidRPr="003D0B30" w:rsidRDefault="00301D32" w:rsidP="00301D32">
      <w:pPr>
        <w:pBdr>
          <w:top w:val="single" w:sz="4" w:space="1" w:color="auto"/>
          <w:left w:val="single" w:sz="4" w:space="4" w:color="auto"/>
          <w:bottom w:val="single" w:sz="4" w:space="1" w:color="auto"/>
          <w:right w:val="single" w:sz="4" w:space="4" w:color="auto"/>
        </w:pBdr>
        <w:shd w:val="clear" w:color="auto" w:fill="F2F2F2" w:themeFill="background1" w:themeFillShade="F2"/>
        <w:jc w:val="center"/>
      </w:pPr>
      <w:r w:rsidRPr="003D0B30">
        <w:rPr>
          <w:noProof/>
          <w:lang w:eastAsia="en-US"/>
        </w:rPr>
        <w:lastRenderedPageBreak/>
        <w:drawing>
          <wp:inline distT="0" distB="0" distL="0" distR="0" wp14:anchorId="4B2F44D9" wp14:editId="6F710DA6">
            <wp:extent cx="4267200" cy="3599766"/>
            <wp:effectExtent l="19050" t="19050" r="19050" b="2032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7684" cy="3617046"/>
                    </a:xfrm>
                    <a:prstGeom prst="rect">
                      <a:avLst/>
                    </a:prstGeom>
                    <a:ln>
                      <a:solidFill>
                        <a:schemeClr val="tx1"/>
                      </a:solidFill>
                    </a:ln>
                  </pic:spPr>
                </pic:pic>
              </a:graphicData>
            </a:graphic>
          </wp:inline>
        </w:drawing>
      </w:r>
    </w:p>
    <w:p w:rsidR="00301D32" w:rsidRPr="003D0B30" w:rsidRDefault="00301D32" w:rsidP="00301D32">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2F2F2" w:themeFill="background1" w:themeFillShade="F2"/>
      </w:pPr>
      <w:r w:rsidRPr="003D0B30">
        <w:t>Here is an overview of the monitor.</w:t>
      </w:r>
    </w:p>
    <w:p w:rsidR="00301D32" w:rsidRPr="003D0B30" w:rsidRDefault="00301D32" w:rsidP="00301D32">
      <w:pPr>
        <w:pBdr>
          <w:top w:val="single" w:sz="4" w:space="1" w:color="auto"/>
          <w:left w:val="single" w:sz="4" w:space="4" w:color="auto"/>
          <w:bottom w:val="single" w:sz="4" w:space="1" w:color="auto"/>
          <w:right w:val="single" w:sz="4" w:space="4" w:color="auto"/>
        </w:pBdr>
        <w:shd w:val="clear" w:color="auto" w:fill="F2F2F2" w:themeFill="background1" w:themeFillShade="F2"/>
        <w:jc w:val="center"/>
      </w:pPr>
      <w:r w:rsidRPr="003D0B30">
        <w:rPr>
          <w:noProof/>
          <w:lang w:eastAsia="en-US"/>
        </w:rPr>
        <w:drawing>
          <wp:inline distT="0" distB="0" distL="0" distR="0" wp14:anchorId="5F258AD2" wp14:editId="3E4B7B52">
            <wp:extent cx="4367213" cy="3741060"/>
            <wp:effectExtent l="19050" t="19050" r="14605" b="12065"/>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6210" cy="3757333"/>
                    </a:xfrm>
                    <a:prstGeom prst="rect">
                      <a:avLst/>
                    </a:prstGeom>
                    <a:ln>
                      <a:solidFill>
                        <a:schemeClr val="tx1"/>
                      </a:solidFill>
                    </a:ln>
                  </pic:spPr>
                </pic:pic>
              </a:graphicData>
            </a:graphic>
          </wp:inline>
        </w:drawing>
      </w:r>
    </w:p>
    <w:p w:rsidR="00301D32" w:rsidRPr="003D0B30" w:rsidRDefault="00301D32" w:rsidP="00301D32">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2F2F2" w:themeFill="background1" w:themeFillShade="F2"/>
      </w:pPr>
      <w:r w:rsidRPr="003D0B30">
        <w:t>Now, go to “</w:t>
      </w:r>
      <w:r w:rsidRPr="003D0B30">
        <w:rPr>
          <w:b/>
          <w:bCs/>
        </w:rPr>
        <w:t>Service Health</w:t>
      </w:r>
      <w:r w:rsidRPr="003D0B30">
        <w:t>” from the left side of the window.</w:t>
      </w:r>
    </w:p>
    <w:p w:rsidR="00301D32" w:rsidRPr="003D0B30" w:rsidRDefault="00301D32" w:rsidP="00301D32">
      <w:pPr>
        <w:pBdr>
          <w:top w:val="single" w:sz="4" w:space="1" w:color="auto"/>
          <w:left w:val="single" w:sz="4" w:space="4" w:color="auto"/>
          <w:bottom w:val="single" w:sz="4" w:space="1" w:color="auto"/>
          <w:right w:val="single" w:sz="4" w:space="4" w:color="auto"/>
        </w:pBdr>
        <w:shd w:val="clear" w:color="auto" w:fill="F2F2F2" w:themeFill="background1" w:themeFillShade="F2"/>
        <w:jc w:val="center"/>
      </w:pPr>
      <w:r w:rsidRPr="003D0B30">
        <w:rPr>
          <w:noProof/>
          <w:lang w:eastAsia="en-US"/>
        </w:rPr>
        <w:lastRenderedPageBreak/>
        <w:drawing>
          <wp:inline distT="0" distB="0" distL="0" distR="0" wp14:anchorId="70C6DB3E" wp14:editId="17D5CD4A">
            <wp:extent cx="4938713" cy="4178383"/>
            <wp:effectExtent l="19050" t="19050" r="14605" b="1270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7747" cy="4186026"/>
                    </a:xfrm>
                    <a:prstGeom prst="rect">
                      <a:avLst/>
                    </a:prstGeom>
                    <a:ln>
                      <a:solidFill>
                        <a:schemeClr val="tx1"/>
                      </a:solidFill>
                    </a:ln>
                  </pic:spPr>
                </pic:pic>
              </a:graphicData>
            </a:graphic>
          </wp:inline>
        </w:drawing>
      </w:r>
    </w:p>
    <w:p w:rsidR="00301D32" w:rsidRPr="003D0B30" w:rsidRDefault="00301D32" w:rsidP="00301D32">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2F2F2" w:themeFill="background1" w:themeFillShade="F2"/>
      </w:pPr>
      <w:r w:rsidRPr="003D0B30">
        <w:t>Currently, it shows that no issue has been found. It will alert you of any issue in the services if found.</w:t>
      </w:r>
    </w:p>
    <w:p w:rsidR="00301D32" w:rsidRPr="003D0B30" w:rsidRDefault="00301D32" w:rsidP="00301D32">
      <w:pPr>
        <w:pBdr>
          <w:top w:val="single" w:sz="4" w:space="1" w:color="auto"/>
          <w:left w:val="single" w:sz="4" w:space="4" w:color="auto"/>
          <w:bottom w:val="single" w:sz="4" w:space="1" w:color="auto"/>
          <w:right w:val="single" w:sz="4" w:space="4" w:color="auto"/>
        </w:pBdr>
        <w:shd w:val="clear" w:color="auto" w:fill="F2F2F2" w:themeFill="background1" w:themeFillShade="F2"/>
        <w:jc w:val="center"/>
      </w:pPr>
      <w:r w:rsidRPr="003D0B30">
        <w:rPr>
          <w:noProof/>
          <w:lang w:eastAsia="en-US"/>
        </w:rPr>
        <w:drawing>
          <wp:inline distT="0" distB="0" distL="0" distR="0" wp14:anchorId="00315BCA" wp14:editId="009B07F0">
            <wp:extent cx="5000625" cy="3099213"/>
            <wp:effectExtent l="19050" t="19050" r="9525" b="2540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1716" cy="3099889"/>
                    </a:xfrm>
                    <a:prstGeom prst="rect">
                      <a:avLst/>
                    </a:prstGeom>
                    <a:ln>
                      <a:solidFill>
                        <a:schemeClr val="tx1"/>
                      </a:solidFill>
                    </a:ln>
                  </pic:spPr>
                </pic:pic>
              </a:graphicData>
            </a:graphic>
          </wp:inline>
        </w:drawing>
      </w:r>
    </w:p>
    <w:p w:rsidR="00301D32" w:rsidRPr="003D0B30" w:rsidRDefault="00301D32" w:rsidP="00301D32">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2F2F2" w:themeFill="background1" w:themeFillShade="F2"/>
      </w:pPr>
      <w:r w:rsidRPr="003D0B30">
        <w:t>If you click “Planned maintenance,” it will show any upcoming or scheduled planned maintenance events.</w:t>
      </w:r>
    </w:p>
    <w:p w:rsidR="00301D32" w:rsidRPr="003D0B30" w:rsidRDefault="00301D32" w:rsidP="00301D32">
      <w:pPr>
        <w:pBdr>
          <w:top w:val="single" w:sz="4" w:space="1" w:color="auto"/>
          <w:left w:val="single" w:sz="4" w:space="4" w:color="auto"/>
          <w:bottom w:val="single" w:sz="4" w:space="1" w:color="auto"/>
          <w:right w:val="single" w:sz="4" w:space="4" w:color="auto"/>
        </w:pBdr>
        <w:shd w:val="clear" w:color="auto" w:fill="F2F2F2" w:themeFill="background1" w:themeFillShade="F2"/>
        <w:jc w:val="center"/>
      </w:pPr>
      <w:r w:rsidRPr="003D0B30">
        <w:rPr>
          <w:noProof/>
          <w:lang w:eastAsia="en-US"/>
        </w:rPr>
        <w:lastRenderedPageBreak/>
        <w:drawing>
          <wp:inline distT="0" distB="0" distL="0" distR="0" wp14:anchorId="568C3477" wp14:editId="5BC59CDF">
            <wp:extent cx="5067300" cy="2468143"/>
            <wp:effectExtent l="19050" t="19050" r="19050" b="2794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9738" cy="2474201"/>
                    </a:xfrm>
                    <a:prstGeom prst="rect">
                      <a:avLst/>
                    </a:prstGeom>
                    <a:ln>
                      <a:solidFill>
                        <a:schemeClr val="tx1"/>
                      </a:solidFill>
                    </a:ln>
                  </pic:spPr>
                </pic:pic>
              </a:graphicData>
            </a:graphic>
          </wp:inline>
        </w:drawing>
      </w:r>
    </w:p>
    <w:p w:rsidR="00301D32" w:rsidRPr="00301D32" w:rsidRDefault="00301D32" w:rsidP="00301D32"/>
    <w:sectPr w:rsidR="00301D32" w:rsidRPr="00301D3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25ACD"/>
    <w:multiLevelType w:val="hybridMultilevel"/>
    <w:tmpl w:val="98C43704"/>
    <w:lvl w:ilvl="0" w:tplc="EC5AC7C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17577D"/>
    <w:multiLevelType w:val="hybridMultilevel"/>
    <w:tmpl w:val="63AC20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D215478"/>
    <w:multiLevelType w:val="hybridMultilevel"/>
    <w:tmpl w:val="12FA860E"/>
    <w:lvl w:ilvl="0" w:tplc="343C298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97045F"/>
    <w:multiLevelType w:val="hybridMultilevel"/>
    <w:tmpl w:val="B1F23F26"/>
    <w:lvl w:ilvl="0" w:tplc="D9DC57E2">
      <w:start w:val="20"/>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2544A2"/>
    <w:multiLevelType w:val="hybridMultilevel"/>
    <w:tmpl w:val="95741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38D"/>
    <w:rsid w:val="002847E6"/>
    <w:rsid w:val="00301D32"/>
    <w:rsid w:val="004009B8"/>
    <w:rsid w:val="00431747"/>
    <w:rsid w:val="006C535F"/>
    <w:rsid w:val="00A47B86"/>
    <w:rsid w:val="00D403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0B4DC8-26EF-430B-A5CC-247FCAB15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D4038D"/>
    <w:pPr>
      <w:spacing w:after="120" w:line="276" w:lineRule="auto"/>
      <w:jc w:val="both"/>
    </w:pPr>
    <w:rPr>
      <w:rFonts w:ascii="Constantia" w:hAnsi="Constantia" w:cs="Times New Roman"/>
      <w:sz w:val="20"/>
      <w:szCs w:val="24"/>
      <w:lang w:eastAsia="en-GB"/>
    </w:rPr>
  </w:style>
  <w:style w:type="paragraph" w:styleId="Heading1">
    <w:name w:val="heading 1"/>
    <w:basedOn w:val="Normal"/>
    <w:next w:val="Normal"/>
    <w:link w:val="Heading1Char"/>
    <w:uiPriority w:val="9"/>
    <w:qFormat/>
    <w:rsid w:val="00D403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D4038D"/>
    <w:pPr>
      <w:shd w:val="clear" w:color="auto" w:fill="FFFFFF"/>
      <w:tabs>
        <w:tab w:val="left" w:pos="540"/>
      </w:tabs>
      <w:spacing w:before="480" w:after="120"/>
      <w:jc w:val="left"/>
      <w:outlineLvl w:val="1"/>
    </w:pPr>
    <w:rPr>
      <w:rFonts w:ascii="Constantia" w:eastAsiaTheme="minorHAnsi" w:hAnsi="Constantia" w:cs="Segoe UI"/>
      <w:b/>
      <w:bCs/>
      <w:noProof/>
      <w:color w:val="171717"/>
      <w:sz w:val="24"/>
      <w:szCs w:val="22"/>
      <w:shd w:val="clear" w:color="auto" w:fill="FFFFFF"/>
      <w:lang w:eastAsia="en-US"/>
    </w:rPr>
  </w:style>
  <w:style w:type="paragraph" w:styleId="Heading3">
    <w:name w:val="heading 3"/>
    <w:aliases w:val="IPS Heading 3"/>
    <w:basedOn w:val="TOC3"/>
    <w:next w:val="Normal"/>
    <w:link w:val="Heading3Char"/>
    <w:autoRedefine/>
    <w:uiPriority w:val="9"/>
    <w:unhideWhenUsed/>
    <w:qFormat/>
    <w:rsid w:val="00D4038D"/>
    <w:pPr>
      <w:tabs>
        <w:tab w:val="left" w:pos="960"/>
        <w:tab w:val="right" w:leader="dot" w:pos="9010"/>
        <w:tab w:val="right" w:leader="dot" w:pos="9134"/>
      </w:tabs>
      <w:spacing w:before="300" w:after="120"/>
      <w:ind w:left="0"/>
      <w:outlineLvl w:val="2"/>
    </w:pPr>
    <w:rPr>
      <w:b/>
      <w:bCs/>
      <w:noProof/>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D4038D"/>
    <w:rPr>
      <w:rFonts w:ascii="Constantia" w:hAnsi="Constantia" w:cs="Segoe UI"/>
      <w:b/>
      <w:bCs/>
      <w:noProof/>
      <w:color w:val="171717"/>
      <w:sz w:val="24"/>
      <w:shd w:val="clear" w:color="auto" w:fill="FFFFFF"/>
    </w:rPr>
  </w:style>
  <w:style w:type="character" w:customStyle="1" w:styleId="Heading3Char">
    <w:name w:val="Heading 3 Char"/>
    <w:aliases w:val="IPS Heading 3 Char"/>
    <w:basedOn w:val="DefaultParagraphFont"/>
    <w:link w:val="Heading3"/>
    <w:uiPriority w:val="9"/>
    <w:qFormat/>
    <w:rsid w:val="00D4038D"/>
    <w:rPr>
      <w:rFonts w:ascii="Constantia" w:hAnsi="Constantia" w:cs="Times New Roman"/>
      <w:b/>
      <w:bCs/>
      <w:noProof/>
      <w:szCs w:val="24"/>
      <w:u w:val="single"/>
      <w:lang w:eastAsia="en-GB"/>
    </w:rPr>
  </w:style>
  <w:style w:type="paragraph" w:styleId="ListParagraph">
    <w:name w:val="List Paragraph"/>
    <w:aliases w:val="PQ"/>
    <w:basedOn w:val="Normal"/>
    <w:link w:val="ListParagraphChar"/>
    <w:uiPriority w:val="34"/>
    <w:qFormat/>
    <w:rsid w:val="00D4038D"/>
    <w:pPr>
      <w:ind w:left="720"/>
      <w:contextualSpacing/>
    </w:pPr>
  </w:style>
  <w:style w:type="character" w:customStyle="1" w:styleId="ListParagraphChar">
    <w:name w:val="List Paragraph Char"/>
    <w:aliases w:val="PQ Char"/>
    <w:basedOn w:val="DefaultParagraphFont"/>
    <w:link w:val="ListParagraph"/>
    <w:uiPriority w:val="34"/>
    <w:qFormat/>
    <w:rsid w:val="00D4038D"/>
    <w:rPr>
      <w:rFonts w:ascii="Constantia" w:hAnsi="Constantia" w:cs="Times New Roman"/>
      <w:sz w:val="20"/>
      <w:szCs w:val="24"/>
      <w:lang w:eastAsia="en-GB"/>
    </w:rPr>
  </w:style>
  <w:style w:type="character" w:customStyle="1" w:styleId="Heading1Char">
    <w:name w:val="Heading 1 Char"/>
    <w:basedOn w:val="DefaultParagraphFont"/>
    <w:link w:val="Heading1"/>
    <w:uiPriority w:val="9"/>
    <w:rsid w:val="00D4038D"/>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D4038D"/>
    <w:pPr>
      <w:spacing w:after="100"/>
      <w:ind w:left="400"/>
    </w:pPr>
  </w:style>
  <w:style w:type="character" w:styleId="Hyperlink">
    <w:name w:val="Hyperlink"/>
    <w:basedOn w:val="DefaultParagraphFont"/>
    <w:uiPriority w:val="99"/>
    <w:unhideWhenUsed/>
    <w:qFormat/>
    <w:rsid w:val="00D4038D"/>
    <w:rPr>
      <w:color w:val="0563C1" w:themeColor="hyperlink"/>
      <w:u w:val="single"/>
    </w:rPr>
  </w:style>
  <w:style w:type="table" w:styleId="TableGrid">
    <w:name w:val="Table Grid"/>
    <w:basedOn w:val="TableNormal"/>
    <w:uiPriority w:val="39"/>
    <w:qFormat/>
    <w:rsid w:val="00301D32"/>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igurelabel">
    <w:name w:val="figurelabel"/>
    <w:basedOn w:val="DefaultParagraphFont"/>
    <w:qFormat/>
    <w:rsid w:val="00301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2025-04-01T15:45:00Z</dcterms:created>
  <dcterms:modified xsi:type="dcterms:W3CDTF">2025-04-01T15:45:00Z</dcterms:modified>
</cp:coreProperties>
</file>