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9124" w14:textId="77777777" w:rsidR="00551F63" w:rsidRDefault="00551F63">
      <w:pPr>
        <w:rPr>
          <w:rFonts w:ascii="Tibetan Machine Uni" w:hAnsi="Tibetan Machine Uni" w:cs="Times New Roman"/>
          <w:sz w:val="12"/>
          <w:szCs w:val="12"/>
          <w:lang w:val="uk-UA"/>
        </w:rPr>
      </w:pPr>
    </w:p>
    <w:p w14:paraId="7830E086" w14:textId="77777777" w:rsidR="00551F63" w:rsidRDefault="00551F63">
      <w:pPr>
        <w:pStyle w:val="a9"/>
        <w:rPr>
          <w:rFonts w:cs="Times New Roman"/>
          <w:lang w:val="uk-UA"/>
        </w:rPr>
      </w:pPr>
    </w:p>
    <w:p w14:paraId="06227BB4" w14:textId="77777777" w:rsidR="00551F63" w:rsidRDefault="00376C93">
      <w:pPr>
        <w:rPr>
          <w:rFonts w:ascii="Tibetan Machine Uni" w:hAnsi="Tibetan Machine Uni"/>
          <w:sz w:val="12"/>
          <w:szCs w:val="12"/>
        </w:rPr>
      </w:pPr>
      <w:r>
        <w:rPr>
          <w:rFonts w:ascii="Tibetan Machine Uni" w:hAnsi="Tibetan Machine Uni" w:cs="Times New Roman"/>
          <w:sz w:val="12"/>
          <w:szCs w:val="12"/>
          <w:lang w:val="uk-UA"/>
        </w:rPr>
        <w:t>Таблиця до сем. 3</w:t>
      </w:r>
    </w:p>
    <w:tbl>
      <w:tblPr>
        <w:tblStyle w:val="ab"/>
        <w:tblW w:w="9496" w:type="dxa"/>
        <w:tblInd w:w="-147" w:type="dxa"/>
        <w:tblLook w:val="04A0" w:firstRow="1" w:lastRow="0" w:firstColumn="1" w:lastColumn="0" w:noHBand="0" w:noVBand="1"/>
      </w:tblPr>
      <w:tblGrid>
        <w:gridCol w:w="339"/>
        <w:gridCol w:w="1458"/>
        <w:gridCol w:w="1758"/>
        <w:gridCol w:w="2074"/>
        <w:gridCol w:w="1920"/>
        <w:gridCol w:w="1947"/>
      </w:tblGrid>
      <w:tr w:rsidR="00551F63" w14:paraId="51D328FE" w14:textId="77777777">
        <w:trPr>
          <w:trHeight w:val="1696"/>
        </w:trPr>
        <w:tc>
          <w:tcPr>
            <w:tcW w:w="288" w:type="dxa"/>
          </w:tcPr>
          <w:p w14:paraId="73F06827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№</w:t>
            </w:r>
          </w:p>
        </w:tc>
        <w:tc>
          <w:tcPr>
            <w:tcW w:w="1466" w:type="dxa"/>
          </w:tcPr>
          <w:p w14:paraId="68D8901C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b/>
                <w:bCs/>
                <w:i/>
                <w:iCs/>
                <w:color w:val="C00000"/>
                <w:sz w:val="12"/>
                <w:szCs w:val="12"/>
                <w:lang w:val="uk-UA"/>
              </w:rPr>
              <w:t>Напрямки розвитку знань за сучасними науковими галузями</w:t>
            </w:r>
          </w:p>
        </w:tc>
        <w:tc>
          <w:tcPr>
            <w:tcW w:w="1765" w:type="dxa"/>
          </w:tcPr>
          <w:p w14:paraId="571D6A65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eastAsia="Times New Roman" w:hAnsi="Tibetan Machine Uni" w:cs="Times New Roman"/>
                <w:b/>
                <w:i/>
                <w:color w:val="C00000"/>
                <w:sz w:val="12"/>
                <w:szCs w:val="12"/>
                <w:lang w:val="uk-UA" w:eastAsia="ru-RU"/>
              </w:rPr>
              <w:t>Єгипет</w:t>
            </w:r>
          </w:p>
        </w:tc>
        <w:tc>
          <w:tcPr>
            <w:tcW w:w="2089" w:type="dxa"/>
          </w:tcPr>
          <w:p w14:paraId="1E8797EF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eastAsia="Times New Roman" w:hAnsi="Tibetan Machine Uni" w:cs="Times New Roman"/>
                <w:b/>
                <w:i/>
                <w:color w:val="C00000"/>
                <w:sz w:val="12"/>
                <w:szCs w:val="12"/>
                <w:lang w:val="uk-UA" w:eastAsia="ru-RU"/>
              </w:rPr>
              <w:t>Міжріччя</w:t>
            </w:r>
          </w:p>
        </w:tc>
        <w:tc>
          <w:tcPr>
            <w:tcW w:w="1927" w:type="dxa"/>
          </w:tcPr>
          <w:p w14:paraId="52DC6D3C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eastAsia="Times New Roman" w:hAnsi="Tibetan Machine Uni" w:cs="Times New Roman"/>
                <w:b/>
                <w:i/>
                <w:color w:val="C00000"/>
                <w:sz w:val="12"/>
                <w:szCs w:val="12"/>
                <w:lang w:val="uk-UA" w:eastAsia="ru-RU"/>
              </w:rPr>
              <w:t>Індія</w:t>
            </w:r>
          </w:p>
        </w:tc>
        <w:tc>
          <w:tcPr>
            <w:tcW w:w="1961" w:type="dxa"/>
          </w:tcPr>
          <w:p w14:paraId="6D578696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eastAsia="Times New Roman" w:hAnsi="Tibetan Machine Uni" w:cs="Times New Roman"/>
                <w:b/>
                <w:i/>
                <w:color w:val="C00000"/>
                <w:sz w:val="12"/>
                <w:szCs w:val="12"/>
                <w:lang w:val="uk-UA" w:eastAsia="ru-RU"/>
              </w:rPr>
              <w:t>Китай</w:t>
            </w:r>
          </w:p>
        </w:tc>
      </w:tr>
      <w:tr w:rsidR="00551F63" w:rsidRPr="00E21A61" w14:paraId="35625BD2" w14:textId="77777777">
        <w:tc>
          <w:tcPr>
            <w:tcW w:w="288" w:type="dxa"/>
          </w:tcPr>
          <w:p w14:paraId="2CD885E5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1.</w:t>
            </w:r>
          </w:p>
        </w:tc>
        <w:tc>
          <w:tcPr>
            <w:tcW w:w="1466" w:type="dxa"/>
          </w:tcPr>
          <w:p w14:paraId="09957212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Математика</w:t>
            </w:r>
          </w:p>
        </w:tc>
        <w:tc>
          <w:tcPr>
            <w:tcW w:w="1765" w:type="dxa"/>
          </w:tcPr>
          <w:p w14:paraId="4545C1C7" w14:textId="77777777" w:rsidR="00551F63" w:rsidRDefault="00376C93">
            <w:pPr>
              <w:pStyle w:val="LO-normal"/>
              <w:rPr>
                <w:rFonts w:ascii="Tibetan Machine Uni" w:hAnsi="Tibetan Machine Uni"/>
                <w:sz w:val="12"/>
                <w:szCs w:val="12"/>
              </w:rPr>
            </w:pP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Існувала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десятична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система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обчислення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.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Єгиптяни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вміли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обчислювати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площу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трикутника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трапеції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й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навіть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кола,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приймаючи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число π = </w:t>
            </w:r>
            <w:r>
              <w:rPr>
                <w:rFonts w:ascii="Tibetan Machine Uni" w:hAnsi="Tibetan Machine Uni"/>
                <w:sz w:val="12"/>
                <w:szCs w:val="12"/>
              </w:rPr>
              <w:t xml:space="preserve">3,14. Особливо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велику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роль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відігравали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пропорції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символічні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позначення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дробів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>. А</w:t>
            </w:r>
          </w:p>
          <w:p w14:paraId="2027D3B3" w14:textId="77777777" w:rsidR="00551F63" w:rsidRDefault="00551F63">
            <w:pPr>
              <w:pStyle w:val="LO-normal"/>
              <w:rPr>
                <w:rFonts w:ascii="Tibetan Machine Uni" w:hAnsi="Tibetan Machine Uni"/>
                <w:sz w:val="12"/>
                <w:szCs w:val="12"/>
              </w:rPr>
            </w:pPr>
          </w:p>
          <w:p w14:paraId="32F13CCA" w14:textId="77777777" w:rsidR="00551F63" w:rsidRDefault="00376C93">
            <w:pPr>
              <w:pStyle w:val="LO-normal"/>
              <w:spacing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В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Єгиптi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виникли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елементарнi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алгебраїчнi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уявлення. Геометрія займала особливе місце.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Iснували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знання в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галузi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планiметрii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та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стереометрii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. </w:t>
            </w:r>
          </w:p>
        </w:tc>
        <w:tc>
          <w:tcPr>
            <w:tcW w:w="2089" w:type="dxa"/>
          </w:tcPr>
          <w:p w14:paraId="6BB5E526" w14:textId="77777777" w:rsidR="00551F63" w:rsidRDefault="00376C93">
            <w:pPr>
              <w:pStyle w:val="LO-normal"/>
              <w:spacing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Ще у шумерську епоху тут існувала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34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шестидесятирічна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система обчислення, від якої до наших днів залишився поділ кола на 360°.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Вавiлонські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математики,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вмiли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розв’язувати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квадратнi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рiвняння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, знали «теорему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Пiфагора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». Число π практично приймалось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рiвним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трьом. </w:t>
            </w:r>
          </w:p>
        </w:tc>
        <w:tc>
          <w:tcPr>
            <w:tcW w:w="1927" w:type="dxa"/>
          </w:tcPr>
          <w:p w14:paraId="3C24E5DB" w14:textId="77777777" w:rsidR="00551F63" w:rsidRPr="00E21A61" w:rsidRDefault="00376C93">
            <w:pPr>
              <w:rPr>
                <w:rFonts w:ascii="Tibetan Machine Uni" w:hAnsi="Tibetan Machine Uni"/>
                <w:sz w:val="12"/>
                <w:szCs w:val="12"/>
                <w:lang w:val="uk-UA"/>
              </w:rPr>
            </w:pPr>
            <w:r w:rsidRPr="00E21A61">
              <w:rPr>
                <w:rFonts w:ascii="Tibetan Machine Uni" w:hAnsi="Tibetan Machine Uni"/>
                <w:sz w:val="12"/>
                <w:szCs w:val="12"/>
                <w:lang w:val="uk-UA"/>
              </w:rPr>
              <w:t>Б</w:t>
            </w:r>
            <w:r w:rsidRPr="00E21A61">
              <w:rPr>
                <w:rFonts w:ascii="Tibetan Machine Uni" w:hAnsi="Tibetan Machine Uni"/>
                <w:sz w:val="12"/>
                <w:szCs w:val="12"/>
                <w:lang w:val="uk-UA"/>
              </w:rPr>
              <w:t xml:space="preserve">ули відомі арифметичні операції, включаючи дії з дробами. </w:t>
            </w:r>
          </w:p>
          <w:p w14:paraId="6E92D08E" w14:textId="77777777" w:rsidR="00551F63" w:rsidRDefault="00376C93">
            <w:pPr>
              <w:pStyle w:val="LO-normal"/>
              <w:spacing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Створена позиційна система обчислення. Було побудовано таблицю синусів для визначення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місцерозташування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планет. </w:t>
            </w:r>
          </w:p>
        </w:tc>
        <w:tc>
          <w:tcPr>
            <w:tcW w:w="1961" w:type="dxa"/>
          </w:tcPr>
          <w:p w14:paraId="1157DB2A" w14:textId="77777777" w:rsidR="00551F63" w:rsidRDefault="00376C93">
            <w:pPr>
              <w:pStyle w:val="LO-normal"/>
              <w:rPr>
                <w:rFonts w:ascii="Tibetan Machine Uni" w:hAnsi="Tibetan Machine Uni"/>
                <w:sz w:val="12"/>
                <w:szCs w:val="12"/>
              </w:rPr>
            </w:pP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Вперше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запропоновані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поняття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від’ємних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величині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правила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дій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над ними,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витягання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квад</w:t>
            </w:r>
            <w:r>
              <w:rPr>
                <w:rFonts w:ascii="Tibetan Machine Uni" w:hAnsi="Tibetan Machine Uni"/>
                <w:sz w:val="12"/>
                <w:szCs w:val="12"/>
              </w:rPr>
              <w:t>ратних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і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кубічних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коренів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>.</w:t>
            </w:r>
          </w:p>
          <w:p w14:paraId="727F8C3B" w14:textId="77777777" w:rsidR="00551F63" w:rsidRDefault="00551F63">
            <w:pPr>
              <w:pStyle w:val="LO-normal"/>
              <w:rPr>
                <w:rFonts w:ascii="Tibetan Machine Uni" w:hAnsi="Tibetan Machine Uni"/>
                <w:sz w:val="12"/>
                <w:szCs w:val="12"/>
              </w:rPr>
            </w:pPr>
          </w:p>
          <w:p w14:paraId="2233B98F" w14:textId="77777777" w:rsidR="00551F63" w:rsidRDefault="00376C93">
            <w:pPr>
              <w:pStyle w:val="LO-normal"/>
              <w:spacing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Підраховуючи відношення довжини кола до його діаметра в Китаї отримано для π наближення, що дає сім вірних значущих цифр У Європі це винайдено тільки у ХVІ ст. В середині ХІ ст. у Китаї викладено спосіб витягнення коренів вище 2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-го ступеня. Праці китайських вчених з математики свідчать про те, що вони вже у ХІ–ХVІ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ст.ст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. знали властивості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біномінальних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коефіцієнтів і були знайомі з трикутником Паскаля. </w:t>
            </w:r>
          </w:p>
        </w:tc>
      </w:tr>
      <w:tr w:rsidR="00551F63" w14:paraId="49DBF3B3" w14:textId="77777777">
        <w:tc>
          <w:tcPr>
            <w:tcW w:w="288" w:type="dxa"/>
          </w:tcPr>
          <w:p w14:paraId="19695BF6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2.</w:t>
            </w:r>
          </w:p>
        </w:tc>
        <w:tc>
          <w:tcPr>
            <w:tcW w:w="1466" w:type="dxa"/>
          </w:tcPr>
          <w:p w14:paraId="79F9A995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Астрономія</w:t>
            </w:r>
          </w:p>
        </w:tc>
        <w:tc>
          <w:tcPr>
            <w:tcW w:w="1765" w:type="dxa"/>
          </w:tcPr>
          <w:p w14:paraId="79EBA253" w14:textId="77777777" w:rsidR="00551F63" w:rsidRDefault="00376C93">
            <w:pPr>
              <w:pStyle w:val="LO-normal"/>
              <w:spacing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На основі спостережень за небесними світилами ними створено со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нячний календар. Припускають, що перший календар увів єгипетський жрець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Імхотеп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(2650 до н.е.).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Вiн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виявився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настiльки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досконалим, що з деякими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змiнами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його використовують i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сьогоднi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. </w:t>
            </w:r>
          </w:p>
        </w:tc>
        <w:tc>
          <w:tcPr>
            <w:tcW w:w="2089" w:type="dxa"/>
          </w:tcPr>
          <w:p w14:paraId="5FBF4B41" w14:textId="77777777" w:rsidR="00551F63" w:rsidRDefault="00376C93">
            <w:pPr>
              <w:pStyle w:val="LO-normal"/>
              <w:spacing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Вони встановили, що рік має 365 днів, 6 годин, 15 хвилин, 41 секунду. П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ротягом першого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тисячолiття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до н.е.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вавiлоняни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досягли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помiтних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успiхiв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у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спостереженнi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за 35 рухом небесних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тiл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.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Накопиченi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за багато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столiть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вiдомостi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ретельно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фiксувались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на глиняних (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гадальних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) таблицях. </w:t>
            </w:r>
          </w:p>
        </w:tc>
        <w:tc>
          <w:tcPr>
            <w:tcW w:w="1927" w:type="dxa"/>
          </w:tcPr>
          <w:p w14:paraId="48B6D541" w14:textId="77777777" w:rsidR="00551F63" w:rsidRDefault="00376C93">
            <w:pPr>
              <w:pStyle w:val="LO-normal"/>
              <w:spacing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Жреці проводили систематичні спостереження руху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Сонця і Місяця. </w:t>
            </w:r>
          </w:p>
        </w:tc>
        <w:tc>
          <w:tcPr>
            <w:tcW w:w="1961" w:type="dxa"/>
          </w:tcPr>
          <w:p w14:paraId="291FF3E2" w14:textId="77777777" w:rsidR="00551F63" w:rsidRDefault="00376C93">
            <w:pPr>
              <w:pStyle w:val="LO-normal"/>
              <w:spacing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Астрономія у Китаї, як і у Єгипті,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Вавілоні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, Греції, відноситься до числа найбільш стародавніх наук.</w:t>
            </w:r>
          </w:p>
        </w:tc>
      </w:tr>
      <w:tr w:rsidR="00551F63" w14:paraId="2C51F010" w14:textId="77777777">
        <w:tc>
          <w:tcPr>
            <w:tcW w:w="288" w:type="dxa"/>
          </w:tcPr>
          <w:p w14:paraId="162108A0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3.</w:t>
            </w:r>
          </w:p>
        </w:tc>
        <w:tc>
          <w:tcPr>
            <w:tcW w:w="1466" w:type="dxa"/>
          </w:tcPr>
          <w:p w14:paraId="0C549980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Містобудування та архітектура</w:t>
            </w:r>
          </w:p>
        </w:tc>
        <w:tc>
          <w:tcPr>
            <w:tcW w:w="1765" w:type="dxa"/>
          </w:tcPr>
          <w:p w14:paraId="24917FE5" w14:textId="77777777" w:rsidR="00551F63" w:rsidRDefault="00376C93">
            <w:pPr>
              <w:pStyle w:val="a6"/>
              <w:spacing w:after="0"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 xml:space="preserve">Стародавній Єгипет, який поклав початок архітектурі, був країною, позбавленою будівельного лісу. Все </w:t>
            </w:r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>це багато в чому визначило те, що основними будівельними матеріалами були необпалена </w:t>
            </w:r>
            <w:hyperlink r:id="rId5">
              <w:r>
                <w:rPr>
                  <w:rStyle w:val="a4"/>
                  <w:rFonts w:ascii="Tibetan Machine Uni" w:hAnsi="Tibetan Machine Uni" w:cs="Times New Roman"/>
                  <w:color w:val="BA0000"/>
                  <w:sz w:val="12"/>
                  <w:szCs w:val="12"/>
                  <w:u w:val="none"/>
                  <w:lang w:val="uk-UA"/>
                </w:rPr>
                <w:t>цегла-сирець</w:t>
              </w:r>
            </w:hyperlink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> і камінь, головним чином, вапняк. Камінь використовувався в основному для гробниць і поховань, в той час як цегла йшла на спорудження палаців, форте</w:t>
            </w:r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>ць, будівель в околицях храмів та міст, а також допоміжних споруд для храмів.</w:t>
            </w:r>
          </w:p>
          <w:p w14:paraId="7CE43719" w14:textId="77777777" w:rsidR="00551F63" w:rsidRDefault="00376C93">
            <w:pPr>
              <w:pStyle w:val="a6"/>
              <w:rPr>
                <w:rFonts w:ascii="Tibetan Machine Uni" w:hAnsi="Tibetan Machine Uni"/>
                <w:color w:val="202122"/>
                <w:sz w:val="12"/>
                <w:szCs w:val="12"/>
              </w:rPr>
            </w:pP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Давньоєгипетські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будинки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будували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з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бруду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.</w:t>
            </w:r>
          </w:p>
          <w:p w14:paraId="5A22C227" w14:textId="77777777" w:rsidR="00551F63" w:rsidRDefault="00551F63">
            <w:pPr>
              <w:spacing w:after="0"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</w:p>
        </w:tc>
        <w:tc>
          <w:tcPr>
            <w:tcW w:w="2089" w:type="dxa"/>
          </w:tcPr>
          <w:p w14:paraId="027F269E" w14:textId="77777777" w:rsidR="00551F63" w:rsidRDefault="00376C93">
            <w:pPr>
              <w:spacing w:after="0" w:line="240" w:lineRule="auto"/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В архітектурі остаточно складається тип храму на високій платформі з високою стіною навколо нього. Своєрідну пам’ятку архітектури знай</w:t>
            </w:r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дено у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Кіші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 – світську будову, перший зразок єднання палацу і фортеці у шумерському будівництві. </w:t>
            </w:r>
          </w:p>
          <w:p w14:paraId="62F923B5" w14:textId="77777777" w:rsidR="00551F63" w:rsidRDefault="00376C93">
            <w:pPr>
              <w:spacing w:after="0" w:line="240" w:lineRule="auto"/>
              <w:rPr>
                <w:rFonts w:ascii="Arial;Helvetica;sans-serif" w:hAnsi="Arial;Helvetica;sans-serif" w:cs="Times New Roman"/>
                <w:color w:val="000000"/>
                <w:sz w:val="21"/>
                <w:szCs w:val="12"/>
                <w:lang w:val="uk-UA"/>
              </w:rPr>
            </w:pPr>
            <w:r>
              <w:rPr>
                <w:rStyle w:val="StrongEmphasis"/>
                <w:rFonts w:ascii="Tibetan Machine Uni" w:hAnsi="Tibetan Machine Uni" w:cs="Times New Roman"/>
                <w:b w:val="0"/>
                <w:color w:val="000000"/>
                <w:sz w:val="12"/>
                <w:szCs w:val="12"/>
                <w:lang w:val="uk-UA"/>
              </w:rPr>
              <w:t xml:space="preserve">Шумерські архітектори поклали початок будівництву міст, багатоповерхових будинків та </w:t>
            </w:r>
            <w:proofErr w:type="spellStart"/>
            <w:r>
              <w:rPr>
                <w:rStyle w:val="StrongEmphasis"/>
                <w:rFonts w:ascii="Tibetan Machine Uni" w:hAnsi="Tibetan Machine Uni" w:cs="Times New Roman"/>
                <w:b w:val="0"/>
                <w:color w:val="000000"/>
                <w:sz w:val="12"/>
                <w:szCs w:val="12"/>
                <w:lang w:val="uk-UA"/>
              </w:rPr>
              <w:t>зіккуратів</w:t>
            </w:r>
            <w:proofErr w:type="spellEnd"/>
            <w:r>
              <w:rPr>
                <w:rStyle w:val="StrongEmphasis"/>
                <w:rFonts w:ascii="Tibetan Machine Uni" w:hAnsi="Tibetan Machine Uni" w:cs="Times New Roman"/>
                <w:b w:val="0"/>
                <w:color w:val="000000"/>
                <w:sz w:val="12"/>
                <w:szCs w:val="12"/>
                <w:lang w:val="uk-UA"/>
              </w:rPr>
              <w:t>.</w:t>
            </w:r>
          </w:p>
        </w:tc>
        <w:tc>
          <w:tcPr>
            <w:tcW w:w="1927" w:type="dxa"/>
          </w:tcPr>
          <w:p w14:paraId="0ADBCC53" w14:textId="77777777" w:rsidR="00551F63" w:rsidRDefault="00376C93">
            <w:pP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Індійці створювали міцний цемент, різні стійкі мінеральні і р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ослинні барвники, що використовувались у живопису та текстильному виробництві</w:t>
            </w:r>
          </w:p>
        </w:tc>
        <w:tc>
          <w:tcPr>
            <w:tcW w:w="1961" w:type="dxa"/>
          </w:tcPr>
          <w:p w14:paraId="2D3A300B" w14:textId="77777777" w:rsidR="00551F63" w:rsidRDefault="00376C93">
            <w:pPr>
              <w:spacing w:after="0"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З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глибини століть у Китаї важливого значення надавалось будівельним роботам. Це вимагало розвитку будівельної техніки. У VІ ст. до н.е. розпочалось будівництво Великого каналу, яке продовжувалось понад дві тисячі років. У ХІІІ ст. цей канал з’єднав Пекін і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Ханджоу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. Він був обладнаний гідротехнічними спорудами. Ще одним досягненням будівельного мистецтва є Велика китайська стіна. Грандіозні роботи велись з іригаційного і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дорожного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будівництва, риття каналів. Велика увага приділялась будівництву поштових шляхі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в. </w:t>
            </w:r>
          </w:p>
        </w:tc>
      </w:tr>
      <w:tr w:rsidR="00551F63" w14:paraId="460E9455" w14:textId="77777777">
        <w:tc>
          <w:tcPr>
            <w:tcW w:w="288" w:type="dxa"/>
          </w:tcPr>
          <w:p w14:paraId="5E735606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4.</w:t>
            </w:r>
          </w:p>
        </w:tc>
        <w:tc>
          <w:tcPr>
            <w:tcW w:w="1466" w:type="dxa"/>
          </w:tcPr>
          <w:p w14:paraId="09B81793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Медицина, фармакологія</w:t>
            </w:r>
          </w:p>
        </w:tc>
        <w:tc>
          <w:tcPr>
            <w:tcW w:w="1765" w:type="dxa"/>
          </w:tcPr>
          <w:p w14:paraId="766D0B63" w14:textId="77777777" w:rsidR="00551F63" w:rsidRDefault="00376C93">
            <w:pPr>
              <w:pStyle w:val="LO-normal"/>
              <w:spacing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Широко розповсюджений звичай бальзамування сприяв розвитку хірургії. Єгиптяни мали деякі уявлення про функції серця і мозку, лікували зуби. Для муміфікації людського тіла єгиптяни використовували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натрон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. Такі операції не могл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и проводитись без точних знань з анатомії. Древні мумії свідчать про проведення операцій шунтування серця, пересадки органів, пластичних операцій на обличчі і навіть по зміні статі. Є навіть свідчення того, що древні хірурги здійснювали такі процедури, які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ми ще не здатні робити, зокрема, пересадку кінцівок тіла і збільшення мозку.</w:t>
            </w:r>
          </w:p>
        </w:tc>
        <w:tc>
          <w:tcPr>
            <w:tcW w:w="2089" w:type="dxa"/>
          </w:tcPr>
          <w:p w14:paraId="505ABC84" w14:textId="77777777" w:rsidR="00551F63" w:rsidRDefault="00376C93">
            <w:pPr>
              <w:spacing w:after="0" w:line="240" w:lineRule="auto"/>
              <w:rPr>
                <w:rFonts w:ascii="sans-serif" w:hAnsi="sans-serif"/>
                <w:color w:val="202122"/>
                <w:sz w:val="21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З практичних потреб у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Вавілоні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з’явились записи медичних та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хiмiчних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 </w:t>
            </w:r>
            <w:proofErr w:type="spellStart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рецептiв</w:t>
            </w:r>
            <w:proofErr w:type="spellEnd"/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 xml:space="preserve">. </w:t>
            </w:r>
            <w:proofErr w:type="gram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У рецептах</w:t>
            </w:r>
            <w:proofErr w:type="gram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використовувалося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безліч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рослин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мінералів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і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продуктів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тваринного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походження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. Для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лікува</w:t>
            </w:r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ння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використовувалися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всі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частини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рослин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, в тому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числі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насіння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та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коріння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. 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Багато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способів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лікування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були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пов'язані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з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магічними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та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релігійними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ритуалами,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деякі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хвороби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вважалися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викликаними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гнівом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богів</w:t>
            </w:r>
            <w:proofErr w:type="spellEnd"/>
            <w:r>
              <w:rPr>
                <w:rFonts w:ascii="Tibetan Machine Uni" w:hAnsi="Tibetan Machine Uni"/>
                <w:color w:val="202122"/>
                <w:sz w:val="12"/>
                <w:szCs w:val="12"/>
              </w:rPr>
              <w:t>.</w:t>
            </w:r>
          </w:p>
        </w:tc>
        <w:tc>
          <w:tcPr>
            <w:tcW w:w="1927" w:type="dxa"/>
          </w:tcPr>
          <w:p w14:paraId="43FEEEFE" w14:textId="77777777" w:rsidR="00551F63" w:rsidRDefault="00376C93">
            <w:pPr>
              <w:pStyle w:val="LO-normal"/>
              <w:spacing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Створено понад 200 хірургічних інструментів, які мал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о чим відрізняються від сучасних. Лікарі вміли знімати катаракту, робити трепанацію черепа, кесарів розтин.</w:t>
            </w:r>
          </w:p>
        </w:tc>
        <w:tc>
          <w:tcPr>
            <w:tcW w:w="1961" w:type="dxa"/>
          </w:tcPr>
          <w:p w14:paraId="2623545A" w14:textId="77777777" w:rsidR="00551F63" w:rsidRPr="00E21A61" w:rsidRDefault="00551F63">
            <w:pPr>
              <w:pStyle w:val="LO-normal"/>
              <w:rPr>
                <w:rFonts w:ascii="Tibetan Machine Uni" w:hAnsi="Tibetan Machine Uni"/>
                <w:sz w:val="12"/>
                <w:szCs w:val="12"/>
                <w:lang w:val="uk-UA"/>
              </w:rPr>
            </w:pPr>
          </w:p>
          <w:p w14:paraId="3467BE83" w14:textId="77777777" w:rsidR="00551F63" w:rsidRDefault="00376C93">
            <w:pPr>
              <w:pStyle w:val="LO-normal"/>
              <w:rPr>
                <w:rFonts w:ascii="Tibetan Machine Uni" w:hAnsi="Tibetan Machine Uni"/>
                <w:sz w:val="12"/>
                <w:szCs w:val="12"/>
              </w:rPr>
            </w:pPr>
            <w:r w:rsidRPr="00E21A61">
              <w:rPr>
                <w:rFonts w:ascii="Tibetan Machine Uni" w:hAnsi="Tibetan Machine Uni"/>
                <w:sz w:val="12"/>
                <w:szCs w:val="12"/>
                <w:lang w:val="uk-UA"/>
              </w:rPr>
              <w:t xml:space="preserve"> </w:t>
            </w:r>
            <w:r w:rsidRPr="00E21A61">
              <w:rPr>
                <w:rFonts w:ascii="Tibetan Machine Uni" w:hAnsi="Tibetan Machine Uni"/>
                <w:sz w:val="12"/>
                <w:szCs w:val="12"/>
                <w:lang w:val="uk-UA"/>
              </w:rPr>
              <w:t xml:space="preserve">Китайська фармакологія відрізнялась від європейської великою кількістю лікувальних засобів.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Загальна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кількість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лікарських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призначень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які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містяться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у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медичному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каталозі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Китаю ХVІ-ХVІІІ.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Свідченням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високого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рівня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практичної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хімії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є те,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що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виробництво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паперу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ліків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тут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здійснювалось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з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природної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sz w:val="12"/>
                <w:szCs w:val="12"/>
              </w:rPr>
              <w:t>сировини</w:t>
            </w:r>
            <w:proofErr w:type="spellEnd"/>
            <w:r>
              <w:rPr>
                <w:rFonts w:ascii="Tibetan Machine Uni" w:hAnsi="Tibetan Machine Uni"/>
                <w:sz w:val="12"/>
                <w:szCs w:val="12"/>
              </w:rPr>
              <w:t xml:space="preserve">. </w:t>
            </w:r>
          </w:p>
          <w:p w14:paraId="0B047BD0" w14:textId="77777777" w:rsidR="00551F63" w:rsidRDefault="00551F63">
            <w:pPr>
              <w:pStyle w:val="LO-normal"/>
              <w:spacing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</w:p>
        </w:tc>
      </w:tr>
      <w:tr w:rsidR="00551F63" w:rsidRPr="00E21A61" w14:paraId="279CB77F" w14:textId="77777777">
        <w:tc>
          <w:tcPr>
            <w:tcW w:w="288" w:type="dxa"/>
          </w:tcPr>
          <w:p w14:paraId="385D5C71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5.</w:t>
            </w:r>
          </w:p>
        </w:tc>
        <w:tc>
          <w:tcPr>
            <w:tcW w:w="1466" w:type="dxa"/>
          </w:tcPr>
          <w:p w14:paraId="70B0338A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Письмо та ієрогліфи</w:t>
            </w:r>
          </w:p>
        </w:tc>
        <w:tc>
          <w:tcPr>
            <w:tcW w:w="1765" w:type="dxa"/>
          </w:tcPr>
          <w:p w14:paraId="32B622D4" w14:textId="77777777" w:rsidR="00551F63" w:rsidRDefault="00376C93">
            <w:pPr>
              <w:spacing w:after="0"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Ієрогліфічне письмо, використовували папірус</w:t>
            </w:r>
          </w:p>
        </w:tc>
        <w:tc>
          <w:tcPr>
            <w:tcW w:w="2089" w:type="dxa"/>
          </w:tcPr>
          <w:p w14:paraId="1062F5DC" w14:textId="77777777" w:rsidR="00551F63" w:rsidRDefault="00376C93">
            <w:pPr>
              <w:spacing w:after="0"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особлива писемність – клинопис</w:t>
            </w:r>
          </w:p>
        </w:tc>
        <w:tc>
          <w:tcPr>
            <w:tcW w:w="1927" w:type="dxa"/>
          </w:tcPr>
          <w:p w14:paraId="3F7EC067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>В Індії</w:t>
            </w:r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> </w:t>
            </w:r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 xml:space="preserve">використовувались дві системи письма: </w:t>
            </w:r>
            <w:proofErr w:type="spellStart"/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>брахмі</w:t>
            </w:r>
            <w:proofErr w:type="spellEnd"/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 xml:space="preserve"> та </w:t>
            </w:r>
            <w:proofErr w:type="spellStart"/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>кхароштхі</w:t>
            </w:r>
            <w:proofErr w:type="spellEnd"/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>. Друга походить від арамейської писемнос</w:t>
            </w:r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>ті</w:t>
            </w:r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> </w:t>
            </w:r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 xml:space="preserve">й використовувалось на </w:t>
            </w:r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lastRenderedPageBreak/>
              <w:t>північному заході Індії</w:t>
            </w:r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> </w:t>
            </w:r>
            <w:r>
              <w:rPr>
                <w:rFonts w:ascii="Tibetan Machine Uni" w:hAnsi="Tibetan Machine Uni" w:cs="Times New Roman"/>
                <w:color w:val="202124"/>
                <w:sz w:val="12"/>
                <w:szCs w:val="12"/>
                <w:lang w:val="uk-UA"/>
              </w:rPr>
              <w:t>до III ст. н. е.</w:t>
            </w:r>
          </w:p>
        </w:tc>
        <w:tc>
          <w:tcPr>
            <w:tcW w:w="1961" w:type="dxa"/>
          </w:tcPr>
          <w:p w14:paraId="7CA81431" w14:textId="77777777" w:rsidR="00551F63" w:rsidRDefault="00376C93">
            <w:pPr>
              <w:pStyle w:val="a6"/>
              <w:spacing w:after="0" w:line="240" w:lineRule="auto"/>
              <w:rPr>
                <w:rFonts w:ascii="Tibetan Machine Uni" w:hAnsi="Tibetan Machine Uni" w:cs="Times New Roman"/>
                <w:color w:val="292B2C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color w:val="292B2C"/>
                <w:sz w:val="12"/>
                <w:szCs w:val="12"/>
                <w:lang w:val="uk-UA"/>
              </w:rPr>
              <w:lastRenderedPageBreak/>
              <w:t xml:space="preserve">У Давньому Китаї для письма послуговувалися ієрогліфами. Китайських ієрогліфів налічувалося близько 10 тисяч. Їх писали вертикальними </w:t>
            </w:r>
            <w:r>
              <w:rPr>
                <w:rFonts w:ascii="Tibetan Machine Uni" w:hAnsi="Tibetan Machine Uni" w:cs="Times New Roman"/>
                <w:color w:val="292B2C"/>
                <w:sz w:val="12"/>
                <w:szCs w:val="12"/>
                <w:lang w:val="uk-UA"/>
              </w:rPr>
              <w:lastRenderedPageBreak/>
              <w:t xml:space="preserve">стовпчиками згори донизу (стовпчики розміщували справа </w:t>
            </w:r>
            <w:r>
              <w:rPr>
                <w:rFonts w:ascii="Tibetan Machine Uni" w:hAnsi="Tibetan Machine Uni" w:cs="Times New Roman"/>
                <w:color w:val="292B2C"/>
                <w:sz w:val="12"/>
                <w:szCs w:val="12"/>
                <w:lang w:val="uk-UA"/>
              </w:rPr>
              <w:t xml:space="preserve">наліво). Аби вважатися грамотним, китаєць мав вивчити щонайменше 7 тис. ієрогліфів. </w:t>
            </w:r>
          </w:p>
          <w:p w14:paraId="571BA7C4" w14:textId="77777777" w:rsidR="00551F63" w:rsidRPr="00E21A61" w:rsidRDefault="00376C93">
            <w:pPr>
              <w:pStyle w:val="a6"/>
              <w:rPr>
                <w:rFonts w:ascii="Tibetan Machine Uni" w:hAnsi="Tibetan Machine Uni"/>
                <w:sz w:val="12"/>
                <w:szCs w:val="12"/>
                <w:lang w:val="uk-UA"/>
              </w:rPr>
            </w:pPr>
            <w:r w:rsidRPr="00E21A61">
              <w:rPr>
                <w:rFonts w:ascii="Tibetan Machine Uni" w:hAnsi="Tibetan Machine Uni"/>
                <w:color w:val="292B2C"/>
                <w:sz w:val="12"/>
                <w:szCs w:val="12"/>
                <w:lang w:val="uk-UA"/>
              </w:rPr>
              <w:t>Писали на бамбукових чи дерев’яних дощечках</w:t>
            </w:r>
          </w:p>
          <w:p w14:paraId="5AFFEFBB" w14:textId="77777777" w:rsidR="00551F63" w:rsidRDefault="00551F63">
            <w:pPr>
              <w:spacing w:after="0"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</w:p>
        </w:tc>
      </w:tr>
      <w:tr w:rsidR="00551F63" w14:paraId="597A56F3" w14:textId="77777777">
        <w:tc>
          <w:tcPr>
            <w:tcW w:w="288" w:type="dxa"/>
          </w:tcPr>
          <w:p w14:paraId="42383F74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lastRenderedPageBreak/>
              <w:t>6.</w:t>
            </w:r>
          </w:p>
        </w:tc>
        <w:tc>
          <w:tcPr>
            <w:tcW w:w="1466" w:type="dxa"/>
          </w:tcPr>
          <w:p w14:paraId="02E72773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Законодавство та право</w:t>
            </w:r>
          </w:p>
        </w:tc>
        <w:tc>
          <w:tcPr>
            <w:tcW w:w="1765" w:type="dxa"/>
          </w:tcPr>
          <w:p w14:paraId="78E1263D" w14:textId="0B87D25F" w:rsidR="00551F63" w:rsidRDefault="00376C93">
            <w:pPr>
              <w:spacing w:after="0"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 xml:space="preserve">У Стародавньому Єгипті існувала розвинена правова система. Втім жодного повного зводу </w:t>
            </w:r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 xml:space="preserve">законів дотепер не </w:t>
            </w:r>
            <w:proofErr w:type="spellStart"/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>збереглося</w:t>
            </w:r>
            <w:proofErr w:type="spellEnd"/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 xml:space="preserve">. </w:t>
            </w:r>
            <w:proofErr w:type="spellStart"/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>Незвачні</w:t>
            </w:r>
            <w:proofErr w:type="spellEnd"/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 xml:space="preserve"> свідчать містяться на «</w:t>
            </w:r>
            <w:proofErr w:type="spellStart"/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>Палермському</w:t>
            </w:r>
            <w:proofErr w:type="spellEnd"/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 xml:space="preserve"> камінні», плиті з чорного базальту (</w:t>
            </w:r>
            <w:r w:rsidRPr="00376C93">
              <w:rPr>
                <w:rFonts w:ascii="Tibetan Machine Uni" w:hAnsi="Tibetan Machine Uni" w:cs="Times New Roman"/>
                <w:sz w:val="12"/>
                <w:szCs w:val="12"/>
                <w:highlight w:val="white"/>
                <w:lang w:val="uk-UA"/>
              </w:rPr>
              <w:t>д</w:t>
            </w:r>
            <w:r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  <w:t>іорита</w:t>
            </w:r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>) заввишки 2 м та завширшки 60 см, що містить запис про періоди історії Стародавн</w:t>
            </w:r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 xml:space="preserve">ього Єгипту в кілька століть, починаючи з </w:t>
            </w:r>
            <w:proofErr w:type="spellStart"/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>додинастичного</w:t>
            </w:r>
            <w:proofErr w:type="spellEnd"/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 xml:space="preserve"> часу. </w:t>
            </w:r>
          </w:p>
          <w:p w14:paraId="7084EC98" w14:textId="77777777" w:rsidR="00551F63" w:rsidRPr="00E21A61" w:rsidRDefault="00551F63">
            <w:pPr>
              <w:spacing w:after="0" w:line="240" w:lineRule="auto"/>
              <w:rPr>
                <w:color w:val="202122"/>
                <w:lang w:val="uk-UA"/>
              </w:rPr>
            </w:pPr>
          </w:p>
          <w:p w14:paraId="36756C7E" w14:textId="6EFAFFCA" w:rsidR="00551F63" w:rsidRDefault="00376C93">
            <w:pPr>
              <w:spacing w:after="0"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>Правова система базувалася на принципі повного авторитаризму володаря — фараона</w:t>
            </w:r>
            <w:r>
              <w:rPr>
                <w:rFonts w:ascii="Tibetan Machine Uni" w:hAnsi="Tibetan Machine Uni" w:cs="Times New Roman"/>
                <w:color w:val="202122"/>
                <w:sz w:val="12"/>
                <w:szCs w:val="12"/>
                <w:lang w:val="uk-UA"/>
              </w:rPr>
              <w:t xml:space="preserve">. </w:t>
            </w:r>
          </w:p>
        </w:tc>
        <w:tc>
          <w:tcPr>
            <w:tcW w:w="2089" w:type="dxa"/>
          </w:tcPr>
          <w:p w14:paraId="51CFFF8E" w14:textId="77777777" w:rsidR="00551F63" w:rsidRDefault="00376C93">
            <w:pPr>
              <w:spacing w:after="0" w:line="240" w:lineRule="auto"/>
              <w:rPr>
                <w:rFonts w:ascii="Tibetan Machine Uni" w:hAnsi="Tibetan Machine Uni"/>
                <w:color w:val="000000"/>
                <w:sz w:val="12"/>
                <w:szCs w:val="12"/>
              </w:rPr>
            </w:pPr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У середині II тис. до н. е. при цареві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Хамураппі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 з’яв</w:t>
            </w:r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ився відомий правовий кодекс. Цей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клінописний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 текст був записаний на 2-метровому кам’яному стовпі й відбивав господарське життя, побут та світогляд давніх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вавилонців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. Культура, релігія та мистецтво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Вавилонії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 набули подальшого розвитку в Ассирійській держав</w:t>
            </w:r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і. На руїнах палацу ассирійського царя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Ашшурбаніпала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 у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Ніневії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 (VII ст. до н. е.) вчені знайшли велику для того часу бібліотеку, яка нараховувала біля 30 тис. клинописних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текстів.У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 середині II тис. до н. е. при цареві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Хамураппі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 з’явився відомий правовий ко</w:t>
            </w:r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декс. Цей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клінописний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 текст був записаний на 2-метровому кам’яному стовпі й відбивав господарське життя, побут та світогляд давніх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вавилонців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. Культура, релігія та мистецтво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Вавилонії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 набули подальшого розвитку в Ассирійській державі. На руїнах палацу асси</w:t>
            </w:r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рійського царя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Ашшурбаніпала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 у </w:t>
            </w:r>
            <w:proofErr w:type="spellStart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>Ніневії</w:t>
            </w:r>
            <w:proofErr w:type="spellEnd"/>
            <w:r>
              <w:rPr>
                <w:rFonts w:ascii="Tibetan Machine Uni" w:hAnsi="Tibetan Machine Uni" w:cs="Times New Roman"/>
                <w:color w:val="000000"/>
                <w:sz w:val="12"/>
                <w:szCs w:val="12"/>
                <w:lang w:val="uk-UA"/>
              </w:rPr>
              <w:t xml:space="preserve"> (VII ст. до н. е.) вчені знайшли велику для того часу бібліотеку, яка нараховувала біля 30 тис. клинописних текстів.</w:t>
            </w:r>
          </w:p>
        </w:tc>
        <w:tc>
          <w:tcPr>
            <w:tcW w:w="1927" w:type="dxa"/>
          </w:tcPr>
          <w:p w14:paraId="338BC600" w14:textId="77777777" w:rsidR="00551F63" w:rsidRDefault="00376C93">
            <w:pPr>
              <w:pStyle w:val="a6"/>
              <w:spacing w:after="0" w:line="240" w:lineRule="auto"/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</w:pPr>
            <w:r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  <w:t xml:space="preserve"> У </w:t>
            </w:r>
            <w:r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  <w:t xml:space="preserve">Індії тісне поєднання права з релігією є повсюдним. Релігія зобов'язувала всіх </w:t>
            </w:r>
            <w:r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  <w:t xml:space="preserve">дотримуватися певних правил поведінки - </w:t>
            </w:r>
            <w:proofErr w:type="spellStart"/>
            <w:r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  <w:t>дхарм</w:t>
            </w:r>
            <w:proofErr w:type="spellEnd"/>
            <w:r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  <w:t xml:space="preserve">. Для кожної </w:t>
            </w:r>
            <w:proofErr w:type="spellStart"/>
            <w:r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  <w:t>варни</w:t>
            </w:r>
            <w:proofErr w:type="spellEnd"/>
            <w:r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  <w:t xml:space="preserve"> були притаманні свої </w:t>
            </w:r>
            <w:proofErr w:type="spellStart"/>
            <w:r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  <w:t>дхарми</w:t>
            </w:r>
            <w:proofErr w:type="spellEnd"/>
            <w:r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  <w:t xml:space="preserve">, зібрані у </w:t>
            </w:r>
            <w:proofErr w:type="spellStart"/>
            <w:r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  <w:t>дхармашастрах</w:t>
            </w:r>
            <w:proofErr w:type="spellEnd"/>
            <w:r>
              <w:rPr>
                <w:rFonts w:ascii="Tibetan Machine Uni" w:hAnsi="Tibetan Machine Uni" w:cs="Times New Roman"/>
                <w:color w:val="222222"/>
                <w:sz w:val="12"/>
                <w:szCs w:val="12"/>
                <w:lang w:val="uk-UA"/>
              </w:rPr>
              <w:t xml:space="preserve"> - книгах про правильну поведінку.</w:t>
            </w:r>
          </w:p>
          <w:p w14:paraId="1437B88F" w14:textId="77777777" w:rsidR="00551F63" w:rsidRDefault="00376C93">
            <w:pPr>
              <w:pStyle w:val="a6"/>
              <w:rPr>
                <w:rFonts w:ascii="Tibetan Machine Uni" w:hAnsi="Tibetan Machine Uni"/>
                <w:color w:val="222222"/>
                <w:sz w:val="12"/>
                <w:szCs w:val="12"/>
              </w:rPr>
            </w:pP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Вагомого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значення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набувала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судова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практика, яка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базувалася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на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брахманському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вченні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, а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більшість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суддів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у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тогочасній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Індії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були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брахманами.</w:t>
            </w:r>
          </w:p>
          <w:p w14:paraId="38AFEF29" w14:textId="77777777" w:rsidR="00551F63" w:rsidRDefault="00551F63">
            <w:pPr>
              <w:spacing w:after="0"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</w:p>
        </w:tc>
        <w:tc>
          <w:tcPr>
            <w:tcW w:w="1961" w:type="dxa"/>
          </w:tcPr>
          <w:p w14:paraId="5076CDFD" w14:textId="77777777" w:rsidR="00551F63" w:rsidRDefault="00376C93">
            <w:pPr>
              <w:pStyle w:val="a6"/>
              <w:rPr>
                <w:rFonts w:ascii="Tibetan Machine Uni" w:hAnsi="Tibetan Machine Uni"/>
                <w:color w:val="222222"/>
                <w:sz w:val="12"/>
                <w:szCs w:val="12"/>
              </w:rPr>
            </w:pPr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Право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Стародавнього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Китаю -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це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, перш за все,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кримінальне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право. У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побуті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китайців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звернення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до права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вважалося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ганебним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. 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Кодифікованого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цивільного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права Китай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узагалі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до XX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століття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не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мав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оскільки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господарські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відносин</w:t>
            </w:r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и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регулювалися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переважно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адміністративним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шляхом.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Що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стосується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кримінального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права, то, як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вважалося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, у "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кращі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часи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" в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ньому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не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було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потреби,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оскільки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люди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керувалися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виключно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нормами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моралі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. Лише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внаслідок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"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псування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звичаїв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"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довелося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звернутися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до "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варва</w:t>
            </w:r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рського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"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регулювання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суспільних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відносин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за </w:t>
            </w:r>
            <w:proofErr w:type="spellStart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>допомогою</w:t>
            </w:r>
            <w:proofErr w:type="spellEnd"/>
            <w:r>
              <w:rPr>
                <w:rFonts w:ascii="Tibetan Machine Uni" w:hAnsi="Tibetan Machine Uni"/>
                <w:color w:val="222222"/>
                <w:sz w:val="12"/>
                <w:szCs w:val="12"/>
              </w:rPr>
              <w:t xml:space="preserve"> норм права.</w:t>
            </w:r>
          </w:p>
          <w:p w14:paraId="78C9316F" w14:textId="77777777" w:rsidR="00551F63" w:rsidRDefault="00551F63">
            <w:pPr>
              <w:spacing w:after="0" w:line="240" w:lineRule="auto"/>
              <w:rPr>
                <w:rFonts w:ascii="Tibetan Machine Uni" w:hAnsi="Tibetan Machine Uni" w:cs="Times New Roman"/>
                <w:sz w:val="12"/>
                <w:szCs w:val="12"/>
                <w:lang w:val="uk-UA"/>
              </w:rPr>
            </w:pPr>
          </w:p>
        </w:tc>
      </w:tr>
    </w:tbl>
    <w:p w14:paraId="45668A35" w14:textId="77777777" w:rsidR="00551F63" w:rsidRDefault="00551F63">
      <w:pPr>
        <w:rPr>
          <w:rFonts w:ascii="Tibetan Machine Uni" w:hAnsi="Tibetan Machine Uni" w:cs="Times New Roman"/>
          <w:sz w:val="12"/>
          <w:szCs w:val="12"/>
          <w:lang w:val="uk-UA"/>
        </w:rPr>
      </w:pPr>
    </w:p>
    <w:p w14:paraId="09D0FC9B" w14:textId="77777777" w:rsidR="00551F63" w:rsidRDefault="00551F63">
      <w:pPr>
        <w:rPr>
          <w:rFonts w:cs="Times New Roman"/>
          <w:lang w:val="uk-UA"/>
        </w:rPr>
      </w:pPr>
    </w:p>
    <w:sectPr w:rsidR="00551F6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betan Machine Uni">
    <w:altName w:val="Calibri"/>
    <w:panose1 w:val="020B0604020202020204"/>
    <w:charset w:val="01"/>
    <w:family w:val="auto"/>
    <w:pitch w:val="variable"/>
  </w:font>
  <w:font w:name="Arial;Helvetica;sans-serif">
    <w:altName w:val="Arial"/>
    <w:panose1 w:val="020B0604020202020204"/>
    <w:charset w:val="00"/>
    <w:family w:val="roman"/>
    <w:notTrueType/>
    <w:pitch w:val="default"/>
  </w:font>
  <w:font w:name="sans-serif">
    <w:altName w:val="Arial"/>
    <w:panose1 w:val="020B0604020202020204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63"/>
    <w:rsid w:val="00376C93"/>
    <w:rsid w:val="00551F63"/>
    <w:rsid w:val="00E2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C10C16"/>
  <w15:docId w15:val="{139A1FFD-2086-844C-B3C2-747A3F9A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663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663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Текст сноски Знак"/>
    <w:basedOn w:val="a0"/>
    <w:uiPriority w:val="99"/>
    <w:semiHidden/>
    <w:qFormat/>
    <w:rsid w:val="00E43236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E4323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4">
    <w:name w:val="Hyperlink"/>
    <w:basedOn w:val="a0"/>
    <w:uiPriority w:val="99"/>
    <w:unhideWhenUsed/>
    <w:rsid w:val="00A62254"/>
    <w:rPr>
      <w:color w:val="0563C1" w:themeColor="hyperlink"/>
      <w:u w:val="single"/>
    </w:rPr>
  </w:style>
  <w:style w:type="character" w:styleId="a5">
    <w:name w:val="FollowedHyperlink"/>
    <w:rPr>
      <w:color w:val="80000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5543A1"/>
    <w:pPr>
      <w:ind w:left="720"/>
      <w:contextualSpacing/>
    </w:pPr>
  </w:style>
  <w:style w:type="paragraph" w:styleId="aa">
    <w:name w:val="footnote text"/>
    <w:basedOn w:val="a"/>
    <w:uiPriority w:val="99"/>
    <w:semiHidden/>
    <w:unhideWhenUsed/>
    <w:rsid w:val="00E43236"/>
    <w:pPr>
      <w:spacing w:after="0" w:line="240" w:lineRule="auto"/>
    </w:pPr>
    <w:rPr>
      <w:sz w:val="20"/>
      <w:szCs w:val="20"/>
    </w:rPr>
  </w:style>
  <w:style w:type="paragraph" w:customStyle="1" w:styleId="LO-normal">
    <w:name w:val="LO-normal"/>
    <w:qFormat/>
    <w:pPr>
      <w:spacing w:line="276" w:lineRule="auto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b">
    <w:name w:val="Table Grid"/>
    <w:basedOn w:val="a1"/>
    <w:uiPriority w:val="39"/>
    <w:rsid w:val="00A62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/index.php?title=&#1062;&#1077;&#1075;&#1083;&#1072;-&#1089;&#1080;&#1088;&#1077;&#1094;&#1100;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F5960-DB61-4817-BBF3-F4A1700E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1209</Words>
  <Characters>6893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Андрей Мешков</cp:lastModifiedBy>
  <cp:revision>3</cp:revision>
  <dcterms:created xsi:type="dcterms:W3CDTF">2022-04-13T09:45:00Z</dcterms:created>
  <dcterms:modified xsi:type="dcterms:W3CDTF">2022-04-13T09:56:00Z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