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934"/>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r w:rsidR="00791E6C" w:rsidTr="002E5D84">
        <w:tc>
          <w:tcPr>
            <w:tcW w:w="4934" w:type="dxa"/>
          </w:tcPr>
          <w:p w:rsidR="00791E6C" w:rsidRPr="00C76696" w:rsidRDefault="00791E6C" w:rsidP="00916EB5">
            <w:pPr>
              <w:rPr>
                <w:rFonts w:cs="Arial"/>
                <w:b/>
                <w:highlight w:val="yellow"/>
              </w:rPr>
            </w:pPr>
            <w:r w:rsidRPr="00C76696">
              <w:rPr>
                <w:rFonts w:cs="Arial"/>
                <w:highlight w:val="yellow"/>
              </w:rPr>
              <w:t>[Mills Oakley branding will be removed once finalised if this is what IP Australia would prefer].</w:t>
            </w:r>
            <w:r w:rsidRPr="00C76696">
              <w:rPr>
                <w:rFonts w:cs="Arial"/>
                <w:b/>
                <w:highlight w:val="yellow"/>
              </w:rPr>
              <w:t xml:space="preserve"> </w:t>
            </w:r>
          </w:p>
          <w:p w:rsidR="00791E6C" w:rsidRPr="00C76696" w:rsidRDefault="00791E6C" w:rsidP="00916EB5">
            <w:pPr>
              <w:spacing w:before="120"/>
              <w:rPr>
                <w:highlight w:val="yellow"/>
              </w:rPr>
            </w:pPr>
          </w:p>
        </w:tc>
      </w:tr>
    </w:tbl>
    <w:p w:rsidR="00791E6C" w:rsidRPr="00587D7B" w:rsidRDefault="00791E6C" w:rsidP="00791E6C">
      <w:pPr>
        <w:ind w:left="4253"/>
        <w:rPr>
          <w:rFonts w:cs="Arial"/>
          <w:szCs w:val="22"/>
        </w:rPr>
      </w:pPr>
      <w:r>
        <w:fldChar w:fldCharType="begin"/>
      </w:r>
      <w:r>
        <w:instrText xml:space="preserve"> ADVANCE \y 690 </w:instrText>
      </w:r>
      <w:r>
        <w:fldChar w:fldCharType="end"/>
      </w:r>
      <w:r>
        <w:rPr>
          <w:rFonts w:cs="Arial"/>
        </w:rPr>
        <w:fldChar w:fldCharType="begin"/>
      </w:r>
      <w:r>
        <w:rPr>
          <w:rFonts w:cs="Arial"/>
        </w:rPr>
        <w:instrText xml:space="preserve"> ADVANCE \y 650 </w:instrText>
      </w:r>
      <w:r>
        <w:rPr>
          <w:rFonts w:cs="Arial"/>
        </w:rPr>
        <w:fldChar w:fldCharType="end"/>
      </w:r>
      <w:r w:rsidRPr="0060374C">
        <w:rPr>
          <w:rFonts w:cs="Arial"/>
          <w:b/>
          <w:szCs w:val="22"/>
        </w:rPr>
        <w:t>MILLS OAKLEY</w:t>
      </w:r>
    </w:p>
    <w:p w:rsidR="00791E6C" w:rsidRDefault="00791E6C" w:rsidP="00791E6C">
      <w:pPr>
        <w:ind w:left="4253"/>
        <w:rPr>
          <w:rFonts w:cs="Arial"/>
          <w:szCs w:val="22"/>
        </w:rPr>
      </w:pPr>
      <w:r w:rsidRPr="0060374C">
        <w:rPr>
          <w:rFonts w:cs="Arial"/>
          <w:szCs w:val="22"/>
        </w:rPr>
        <w:t>Level 9, 121 Marcus Clarke Street</w:t>
      </w:r>
      <w:r>
        <w:rPr>
          <w:rFonts w:cs="Arial"/>
          <w:szCs w:val="22"/>
        </w:rPr>
        <w:t xml:space="preserve">, </w:t>
      </w:r>
    </w:p>
    <w:p w:rsidR="00791E6C" w:rsidRPr="00587D7B" w:rsidRDefault="00791E6C" w:rsidP="00791E6C">
      <w:pPr>
        <w:ind w:left="4253"/>
        <w:rPr>
          <w:rFonts w:cs="Arial"/>
          <w:szCs w:val="22"/>
        </w:rPr>
      </w:pPr>
      <w:r w:rsidRPr="0060374C">
        <w:rPr>
          <w:rFonts w:cs="Arial"/>
          <w:szCs w:val="22"/>
        </w:rPr>
        <w:t>CANBERRA ACT 2601</w:t>
      </w:r>
    </w:p>
    <w:p w:rsidR="00791E6C" w:rsidRPr="00587D7B" w:rsidRDefault="00791E6C" w:rsidP="00791E6C">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791E6C" w:rsidRPr="00587D7B" w:rsidRDefault="00791E6C" w:rsidP="00791E6C">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791E6C" w:rsidRPr="00587D7B" w:rsidRDefault="00791E6C" w:rsidP="00791E6C">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791E6C" w:rsidRDefault="00791E6C" w:rsidP="00791E6C">
      <w:pPr>
        <w:ind w:left="4253"/>
        <w:rPr>
          <w:rFonts w:cs="Arial"/>
          <w:szCs w:val="22"/>
        </w:rPr>
      </w:pPr>
      <w:r w:rsidRPr="0060374C">
        <w:rPr>
          <w:rFonts w:cs="Arial"/>
          <w:szCs w:val="22"/>
        </w:rPr>
        <w:t>www.millsoakley.com.au</w:t>
      </w:r>
    </w:p>
    <w:p w:rsidR="00791E6C" w:rsidRDefault="00791E6C" w:rsidP="00791E6C">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791E6C" w:rsidRDefault="00791E6C" w:rsidP="00791E6C">
      <w:pPr>
        <w:ind w:left="4255"/>
      </w:pPr>
    </w:p>
    <w:p w:rsidR="00791E6C" w:rsidRDefault="00791E6C" w:rsidP="00791E6C">
      <w:pPr>
        <w:sectPr w:rsidR="00791E6C">
          <w:headerReference w:type="even" r:id="rId9"/>
          <w:headerReference w:type="default" r:id="rId10"/>
          <w:footerReference w:type="even" r:id="rId11"/>
          <w:footerReference w:type="default" r:id="rId12"/>
          <w:headerReference w:type="first" r:id="rId13"/>
          <w:footerReference w:type="first" r:id="rId14"/>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D0D26">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D0D26">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15"/>
          <w:footerReference w:type="default" r:id="rId16"/>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{permittedPurpose}</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the </w:t>
      </w:r>
      <w:r w:rsidR="00695856" w:rsidRPr="00695856">
        <w:rPr>
          <w:b/>
        </w:rPr>
        <w:t>{jurisdiction}</w:t>
      </w:r>
      <w:r w:rsidR="00695856" w:rsidRPr="00695856">
        <w:t>.</w:t>
      </w:r>
    </w:p>
    <w:p w:rsidR="00791E6C" w:rsidRDefault="00791E6C" w:rsidP="00791E6C">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53324084"/>
      <w:bookmarkStart w:id="75" w:name="_Toc467575269"/>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f any provision does not comply then it must be read down so as to give it as much effect as possible. If it is not possible to give that provision any effect at all</w:t>
      </w:r>
      <w:r w:rsidR="000A1432">
        <w:t xml:space="preserve"> </w:t>
      </w:r>
      <w:r>
        <w:t xml:space="preserve"> then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6" w:name="_Toc23312456"/>
      <w:bookmarkStart w:id="77" w:name="_Toc191093861"/>
      <w:bookmarkStart w:id="78" w:name="_Toc191108302"/>
      <w:bookmarkStart w:id="79" w:name="_Toc191108377"/>
      <w:bookmarkStart w:id="80" w:name="_Toc191108561"/>
      <w:bookmarkStart w:id="81" w:name="_Toc191108874"/>
      <w:bookmarkStart w:id="82" w:name="_Toc191108946"/>
      <w:bookmarkStart w:id="83" w:name="_Toc191109073"/>
      <w:bookmarkStart w:id="84" w:name="_Toc191109142"/>
      <w:bookmarkStart w:id="85" w:name="_Toc191109263"/>
      <w:bookmarkStart w:id="86" w:name="_Toc191109345"/>
      <w:bookmarkStart w:id="87" w:name="_Toc191109443"/>
      <w:bookmarkStart w:id="88" w:name="_Toc191109543"/>
      <w:bookmarkStart w:id="89" w:name="_Toc194397508"/>
      <w:bookmarkStart w:id="90" w:name="_Toc453324085"/>
      <w:bookmarkStart w:id="91" w:name="_Toc467575270"/>
      <w:bookmarkEnd w:id="60"/>
      <w:r>
        <w:t>Confidentiality Obligations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91E6C" w:rsidRDefault="00791E6C" w:rsidP="00791E6C">
      <w:pPr>
        <w:pStyle w:val="MOTermsL2"/>
        <w:outlineLvl w:val="9"/>
      </w:pPr>
      <w:bookmarkStart w:id="92" w:name="_Toc191093862"/>
      <w:bookmarkStart w:id="93" w:name="_Toc191108303"/>
      <w:bookmarkStart w:id="94" w:name="_Toc191108378"/>
      <w:bookmarkStart w:id="95" w:name="_Toc191108562"/>
      <w:bookmarkStart w:id="96" w:name="_Toc191108875"/>
      <w:bookmarkStart w:id="97" w:name="_Toc191108947"/>
      <w:bookmarkStart w:id="98" w:name="_Toc191109074"/>
      <w:bookmarkStart w:id="99" w:name="_Toc191109143"/>
      <w:bookmarkStart w:id="100" w:name="_Toc191109264"/>
      <w:bookmarkStart w:id="101" w:name="_Toc191109346"/>
      <w:bookmarkStart w:id="102" w:name="_Toc191109444"/>
      <w:bookmarkStart w:id="103" w:name="_Toc191109544"/>
      <w:bookmarkStart w:id="104" w:name="_Toc194397509"/>
      <w:bookmarkStart w:id="105" w:name="_Toc453324086"/>
      <w:bookmarkStart w:id="106" w:name="_Toc467575271"/>
      <w:r>
        <w:t>Confidentiality</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7" w:name="_Toc191093863"/>
      <w:bookmarkStart w:id="108" w:name="_Toc191108304"/>
      <w:bookmarkStart w:id="109" w:name="_Toc191108379"/>
      <w:bookmarkStart w:id="110" w:name="_Toc191108563"/>
      <w:bookmarkStart w:id="111" w:name="_Toc191108876"/>
      <w:bookmarkStart w:id="112" w:name="_Toc191108948"/>
      <w:bookmarkStart w:id="113" w:name="_Toc191109075"/>
      <w:bookmarkStart w:id="114" w:name="_Toc191109144"/>
      <w:bookmarkStart w:id="115" w:name="_Toc191109265"/>
      <w:bookmarkStart w:id="116" w:name="_Toc191109347"/>
      <w:bookmarkStart w:id="117" w:name="_Toc191109445"/>
      <w:bookmarkStart w:id="118" w:name="_Toc191109545"/>
      <w:bookmarkStart w:id="119" w:name="_Toc194397510"/>
      <w:bookmarkStart w:id="120" w:name="_Toc453324087"/>
      <w:bookmarkStart w:id="121" w:name="_Toc467575272"/>
      <w:r>
        <w:t>Use of Confidential Information</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2" w:name="_Toc191093864"/>
      <w:bookmarkStart w:id="123" w:name="_Toc191108305"/>
      <w:bookmarkStart w:id="124" w:name="_Toc191108380"/>
      <w:bookmarkStart w:id="125" w:name="_Toc191108564"/>
      <w:bookmarkStart w:id="126" w:name="_Toc191108877"/>
      <w:bookmarkStart w:id="127" w:name="_Toc191108949"/>
      <w:bookmarkStart w:id="128" w:name="_Toc191109076"/>
      <w:bookmarkStart w:id="129" w:name="_Toc191109145"/>
      <w:bookmarkStart w:id="130" w:name="_Toc191109266"/>
      <w:bookmarkStart w:id="131" w:name="_Toc191109348"/>
      <w:bookmarkStart w:id="132" w:name="_Toc191109446"/>
      <w:bookmarkStart w:id="133" w:name="_Toc191109546"/>
      <w:bookmarkStart w:id="134" w:name="_Toc194397511"/>
      <w:bookmarkStart w:id="135" w:name="_Toc453324088"/>
      <w:bookmarkStart w:id="136" w:name="_Toc467575273"/>
      <w:r>
        <w:t>Protection of Confidential Information</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7" w:name="_Toc191093865"/>
      <w:bookmarkStart w:id="138" w:name="_Toc191108306"/>
      <w:bookmarkStart w:id="139" w:name="_Toc191108381"/>
      <w:bookmarkStart w:id="140" w:name="_Toc191108565"/>
      <w:bookmarkStart w:id="141" w:name="_Toc191108878"/>
      <w:bookmarkStart w:id="142" w:name="_Toc191108950"/>
      <w:bookmarkStart w:id="143" w:name="_Toc191109077"/>
      <w:bookmarkStart w:id="144" w:name="_Toc191109146"/>
      <w:bookmarkStart w:id="145" w:name="_Toc191109267"/>
      <w:bookmarkStart w:id="146" w:name="_Toc191109349"/>
      <w:bookmarkStart w:id="147" w:name="_Toc191109447"/>
      <w:bookmarkStart w:id="148" w:name="_Toc191109547"/>
      <w:bookmarkStart w:id="149" w:name="_Toc194397512"/>
      <w:bookmarkStart w:id="150" w:name="_Toc453324089"/>
      <w:bookmarkStart w:id="151" w:name="_Toc467575274"/>
      <w:r>
        <w:t>Authorised Recipients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2" w:name="_Toc23312457"/>
      <w:bookmarkStart w:id="153" w:name="_Toc191093869"/>
      <w:bookmarkStart w:id="154" w:name="_Toc191108310"/>
      <w:bookmarkStart w:id="155" w:name="_Toc191108385"/>
      <w:bookmarkStart w:id="156" w:name="_Toc191108569"/>
      <w:bookmarkStart w:id="157" w:name="_Toc191108882"/>
      <w:bookmarkStart w:id="158" w:name="_Toc191108954"/>
      <w:bookmarkStart w:id="159" w:name="_Toc191109081"/>
      <w:bookmarkStart w:id="160" w:name="_Toc191109150"/>
      <w:bookmarkStart w:id="161" w:name="_Toc191109271"/>
      <w:bookmarkStart w:id="162" w:name="_Toc191109353"/>
      <w:bookmarkStart w:id="163" w:name="_Toc191109451"/>
      <w:bookmarkStart w:id="164" w:name="_Toc191109551"/>
      <w:bookmarkStart w:id="165" w:name="_Toc194397516"/>
      <w:bookmarkStart w:id="166" w:name="_Toc453324092"/>
      <w:bookmarkStart w:id="167" w:name="_Toc467575276"/>
      <w:r>
        <w:t>Return of Confidential Information</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68" w:name="_Toc191093870"/>
      <w:bookmarkStart w:id="169" w:name="_Toc191108311"/>
      <w:bookmarkStart w:id="170" w:name="_Toc191108386"/>
      <w:bookmarkStart w:id="171" w:name="_Toc191108570"/>
      <w:bookmarkStart w:id="172" w:name="_Toc191108883"/>
      <w:bookmarkStart w:id="173" w:name="_Toc191108955"/>
      <w:bookmarkStart w:id="174" w:name="_Toc191109082"/>
      <w:bookmarkStart w:id="175" w:name="_Toc191109151"/>
      <w:bookmarkStart w:id="176" w:name="_Toc191109272"/>
      <w:bookmarkStart w:id="177" w:name="_Toc191109354"/>
      <w:bookmarkStart w:id="178" w:name="_Toc191109452"/>
      <w:bookmarkStart w:id="179" w:name="_Toc191109552"/>
      <w:bookmarkStart w:id="180" w:name="_Toc194397517"/>
      <w:bookmarkStart w:id="181" w:name="_Toc453324093"/>
      <w:bookmarkStart w:id="182" w:name="_Toc467575277"/>
      <w:r>
        <w:t>Intellectual Property Rights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791E6C" w:rsidRDefault="00791E6C" w:rsidP="00791E6C">
      <w:pPr>
        <w:pStyle w:val="MOTermsL4"/>
        <w:numPr>
          <w:ilvl w:val="0"/>
          <w:numId w:val="0"/>
        </w:numPr>
        <w:ind w:left="851"/>
        <w:rPr>
          <w:b/>
          <w:bCs/>
        </w:rPr>
      </w:pPr>
      <w:bookmarkStart w:id="183"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4" w:name="_Toc23312458"/>
      <w:bookmarkStart w:id="185" w:name="_Toc191093871"/>
      <w:bookmarkStart w:id="186" w:name="_Toc191108312"/>
      <w:bookmarkStart w:id="187" w:name="_Toc191108387"/>
      <w:bookmarkStart w:id="188" w:name="_Toc191108571"/>
      <w:bookmarkStart w:id="189" w:name="_Toc191108884"/>
      <w:bookmarkStart w:id="190" w:name="_Toc191108956"/>
      <w:bookmarkStart w:id="191" w:name="_Toc191109083"/>
      <w:bookmarkStart w:id="192" w:name="_Toc191109152"/>
      <w:bookmarkStart w:id="193" w:name="_Toc191109273"/>
      <w:bookmarkStart w:id="194" w:name="_Toc191109355"/>
      <w:bookmarkStart w:id="195" w:name="_Toc191109453"/>
      <w:bookmarkStart w:id="196" w:name="_Toc191109553"/>
      <w:bookmarkStart w:id="197" w:name="_Toc194397518"/>
      <w:bookmarkStart w:id="198" w:name="_Toc453324094"/>
      <w:bookmarkStart w:id="199" w:name="_Toc467575278"/>
      <w:bookmarkEnd w:id="183"/>
      <w:r>
        <w:t>Acknowledgements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0" w:name="_Toc453303012"/>
      <w:bookmarkStart w:id="201" w:name="_Toc453324097"/>
      <w:bookmarkStart w:id="202" w:name="_Toc467575279"/>
      <w:bookmarkStart w:id="203" w:name="_Toc23312459"/>
      <w:bookmarkStart w:id="204" w:name="_Toc191093872"/>
      <w:bookmarkStart w:id="205" w:name="_Toc191108313"/>
      <w:bookmarkStart w:id="206" w:name="_Toc191108388"/>
      <w:bookmarkStart w:id="207" w:name="_Toc191108572"/>
      <w:bookmarkStart w:id="208" w:name="_Toc191108885"/>
      <w:bookmarkStart w:id="209" w:name="_Toc191108957"/>
      <w:bookmarkStart w:id="210" w:name="_Toc191109084"/>
      <w:bookmarkStart w:id="211" w:name="_Toc191109153"/>
      <w:bookmarkStart w:id="212" w:name="_Toc191109274"/>
      <w:bookmarkStart w:id="213" w:name="_Toc191109356"/>
      <w:bookmarkStart w:id="214" w:name="_Toc191109454"/>
      <w:bookmarkStart w:id="215" w:name="_Toc191109554"/>
      <w:bookmarkStart w:id="216" w:name="_Toc194397519"/>
      <w:bookmarkStart w:id="217" w:name="_Toc453324095"/>
      <w:bookmarkStart w:id="218" w:name="_Toc13903097"/>
      <w:r>
        <w:lastRenderedPageBreak/>
        <w:t>Duration of Obligations</w:t>
      </w:r>
      <w:bookmarkEnd w:id="200"/>
      <w:bookmarkEnd w:id="201"/>
      <w:bookmarkEnd w:id="202"/>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{durationOfObligations}</w:t>
      </w:r>
      <w:r>
        <w:t xml:space="preserve">. </w:t>
      </w:r>
    </w:p>
    <w:p w:rsidR="00791E6C" w:rsidRDefault="00791E6C" w:rsidP="00791E6C">
      <w:pPr>
        <w:pStyle w:val="MOTermsL1"/>
        <w:outlineLvl w:val="9"/>
      </w:pPr>
      <w:bookmarkStart w:id="219" w:name="_Toc453324096"/>
      <w:bookmarkStart w:id="220" w:name="_Toc467575280"/>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Notices</w:t>
      </w:r>
      <w:bookmarkEnd w:id="219"/>
      <w:bookmarkEnd w:id="220"/>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1" w:name="_Toc451790900"/>
      <w:bookmarkStart w:id="222" w:name="_Toc453324098"/>
      <w:bookmarkStart w:id="223" w:name="_Toc467575281"/>
      <w:bookmarkStart w:id="224" w:name="_Toc23312460"/>
      <w:bookmarkStart w:id="225" w:name="_Toc191093873"/>
      <w:bookmarkStart w:id="226" w:name="_Toc191108314"/>
      <w:bookmarkStart w:id="227" w:name="_Toc191108389"/>
      <w:bookmarkStart w:id="228" w:name="_Toc191108573"/>
      <w:bookmarkStart w:id="229" w:name="_Toc191108886"/>
      <w:bookmarkStart w:id="230" w:name="_Toc191108958"/>
      <w:bookmarkStart w:id="231" w:name="_Toc191109085"/>
      <w:bookmarkStart w:id="232" w:name="_Toc191109154"/>
      <w:bookmarkStart w:id="233" w:name="_Toc191109275"/>
      <w:bookmarkStart w:id="234" w:name="_Toc191109357"/>
      <w:bookmarkStart w:id="235" w:name="_Toc191109455"/>
      <w:bookmarkStart w:id="236" w:name="_Toc191109555"/>
      <w:bookmarkStart w:id="237" w:name="_Toc194397520"/>
      <w:bookmarkEnd w:id="221"/>
      <w:r>
        <w:t>Termination</w:t>
      </w:r>
      <w:bookmarkEnd w:id="222"/>
      <w:bookmarkEnd w:id="223"/>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bookmarkStart w:id="238" w:name="_GoBack"/>
      <w:bookmarkEnd w:id="238"/>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39" w:name="_Toc453324099"/>
      <w:bookmarkStart w:id="240" w:name="_Toc467575282"/>
      <w:r>
        <w:t>General Conditions</w:t>
      </w:r>
      <w:bookmarkEnd w:id="21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9"/>
      <w:bookmarkEnd w:id="240"/>
    </w:p>
    <w:p w:rsidR="00791E6C" w:rsidRDefault="00791E6C" w:rsidP="00791E6C">
      <w:pPr>
        <w:pStyle w:val="MOTermsL2"/>
        <w:outlineLvl w:val="9"/>
      </w:pPr>
      <w:bookmarkStart w:id="241" w:name="_Toc191093874"/>
      <w:bookmarkStart w:id="242" w:name="_Toc191108315"/>
      <w:bookmarkStart w:id="243" w:name="_Toc191108390"/>
      <w:bookmarkStart w:id="244" w:name="_Toc191108574"/>
      <w:bookmarkStart w:id="245" w:name="_Toc191108887"/>
      <w:bookmarkStart w:id="246" w:name="_Toc191108959"/>
      <w:bookmarkStart w:id="247" w:name="_Toc191109086"/>
      <w:bookmarkStart w:id="248" w:name="_Toc191109155"/>
      <w:bookmarkStart w:id="249" w:name="_Toc191109276"/>
      <w:bookmarkStart w:id="250" w:name="_Toc191109358"/>
      <w:bookmarkStart w:id="251" w:name="_Toc191109456"/>
      <w:bookmarkStart w:id="252" w:name="_Toc191109556"/>
      <w:bookmarkStart w:id="253" w:name="_Toc194397521"/>
      <w:bookmarkStart w:id="254" w:name="_Toc453324100"/>
      <w:bookmarkStart w:id="255" w:name="_Toc467575283"/>
      <w:bookmarkStart w:id="256" w:name="_Toc13903098"/>
      <w:bookmarkStart w:id="257" w:name="_Toc23312461"/>
      <w:r>
        <w:t>Date of provision of Confidential Information</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791E6C" w:rsidRDefault="00791E6C" w:rsidP="00791E6C">
      <w:pPr>
        <w:pStyle w:val="MOTermsL3"/>
        <w:numPr>
          <w:ilvl w:val="2"/>
          <w:numId w:val="22"/>
        </w:numPr>
      </w:pPr>
      <w:r>
        <w:t xml:space="preserve">This Agreement binds the Receiving Party in respect of any and all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8" w:name="_Toc13903099"/>
      <w:bookmarkStart w:id="259" w:name="_Toc23312462"/>
      <w:bookmarkStart w:id="260" w:name="_Toc191093876"/>
      <w:bookmarkStart w:id="261" w:name="_Toc191108317"/>
      <w:bookmarkStart w:id="262" w:name="_Toc191108392"/>
      <w:bookmarkStart w:id="263" w:name="_Toc191108576"/>
      <w:bookmarkStart w:id="264" w:name="_Toc191108889"/>
      <w:bookmarkStart w:id="265" w:name="_Toc191108961"/>
      <w:bookmarkStart w:id="266" w:name="_Toc191109088"/>
      <w:bookmarkStart w:id="267" w:name="_Toc191109157"/>
      <w:bookmarkStart w:id="268" w:name="_Toc191109278"/>
      <w:bookmarkStart w:id="269" w:name="_Toc191109360"/>
      <w:bookmarkStart w:id="270" w:name="_Toc191109458"/>
      <w:bookmarkStart w:id="271" w:name="_Toc191109558"/>
      <w:bookmarkStart w:id="272" w:name="_Toc194397523"/>
      <w:bookmarkStart w:id="273" w:name="_Toc453324102"/>
      <w:bookmarkStart w:id="274" w:name="_Toc467575284"/>
      <w:bookmarkEnd w:id="256"/>
      <w:bookmarkEnd w:id="257"/>
      <w:r>
        <w:lastRenderedPageBreak/>
        <w:t>Non-Merger of Provisions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5" w:name="_Toc453323791"/>
      <w:bookmarkStart w:id="276" w:name="_Toc467575285"/>
      <w:r>
        <w:t>No Exclusion of Law or Equity</w:t>
      </w:r>
      <w:bookmarkEnd w:id="275"/>
      <w:bookmarkEnd w:id="276"/>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7" w:name="_Toc13903100"/>
      <w:bookmarkStart w:id="278" w:name="_Toc23312463"/>
      <w:bookmarkStart w:id="279" w:name="_Toc191093877"/>
      <w:bookmarkStart w:id="280" w:name="_Toc191108318"/>
      <w:bookmarkStart w:id="281" w:name="_Toc191108393"/>
      <w:bookmarkStart w:id="282" w:name="_Toc191108577"/>
      <w:bookmarkStart w:id="283" w:name="_Toc191108890"/>
      <w:bookmarkStart w:id="284" w:name="_Toc191108962"/>
      <w:bookmarkStart w:id="285" w:name="_Toc191109089"/>
      <w:bookmarkStart w:id="286" w:name="_Toc191109158"/>
      <w:bookmarkStart w:id="287" w:name="_Toc191109279"/>
      <w:bookmarkStart w:id="288" w:name="_Toc191109361"/>
      <w:bookmarkStart w:id="289" w:name="_Toc191109459"/>
      <w:bookmarkStart w:id="290" w:name="_Toc191109559"/>
      <w:bookmarkStart w:id="291" w:name="_Toc194397524"/>
      <w:bookmarkStart w:id="292" w:name="_Toc453324103"/>
      <w:bookmarkStart w:id="293" w:name="_Toc467575286"/>
      <w:r>
        <w:t>Waiver</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4" w:name="_Toc13903102"/>
      <w:bookmarkStart w:id="295" w:name="_Toc23312464"/>
      <w:bookmarkStart w:id="296" w:name="_Toc191093878"/>
      <w:bookmarkStart w:id="297" w:name="_Toc191108319"/>
      <w:bookmarkStart w:id="298" w:name="_Toc191108394"/>
      <w:bookmarkStart w:id="299" w:name="_Toc191108578"/>
      <w:bookmarkStart w:id="300" w:name="_Toc191108891"/>
      <w:bookmarkStart w:id="301" w:name="_Toc191108963"/>
      <w:bookmarkStart w:id="302" w:name="_Toc191109090"/>
      <w:bookmarkStart w:id="303" w:name="_Toc191109159"/>
      <w:bookmarkStart w:id="304" w:name="_Toc191109280"/>
      <w:bookmarkStart w:id="305" w:name="_Toc191109362"/>
      <w:bookmarkStart w:id="306" w:name="_Toc191109460"/>
      <w:bookmarkStart w:id="307" w:name="_Toc191109560"/>
      <w:bookmarkStart w:id="308" w:name="_Toc194397525"/>
      <w:bookmarkStart w:id="309" w:name="_Toc453324104"/>
      <w:bookmarkStart w:id="310" w:name="_Toc467575287"/>
      <w:r>
        <w:t>No Amendments without Agreement</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1" w:name="_Toc453324105"/>
      <w:bookmarkStart w:id="312" w:name="_Toc467575288"/>
      <w:bookmarkStart w:id="313" w:name="_Toc13903104"/>
      <w:bookmarkStart w:id="314" w:name="_Toc23312465"/>
      <w:bookmarkStart w:id="315" w:name="_Toc191093879"/>
      <w:bookmarkStart w:id="316" w:name="_Toc191108320"/>
      <w:bookmarkStart w:id="317" w:name="_Toc191108395"/>
      <w:bookmarkStart w:id="318" w:name="_Toc191108579"/>
      <w:bookmarkStart w:id="319" w:name="_Toc191108892"/>
      <w:bookmarkStart w:id="320" w:name="_Toc191108964"/>
      <w:bookmarkStart w:id="321" w:name="_Toc191109091"/>
      <w:bookmarkStart w:id="322" w:name="_Toc191109160"/>
      <w:bookmarkStart w:id="323" w:name="_Toc191109281"/>
      <w:bookmarkStart w:id="324" w:name="_Toc191109363"/>
      <w:bookmarkStart w:id="325" w:name="_Toc191109461"/>
      <w:bookmarkStart w:id="326" w:name="_Toc191109561"/>
      <w:bookmarkStart w:id="327" w:name="_Toc194397526"/>
      <w:r>
        <w:t>Agreement in Entirety</w:t>
      </w:r>
      <w:bookmarkEnd w:id="311"/>
      <w:bookmarkEnd w:id="312"/>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8" w:name="_Toc453324106"/>
      <w:bookmarkStart w:id="329" w:name="_Toc467575289"/>
      <w:r>
        <w:t>Jurisdiction</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0" w:name="Reference"/>
      <w:bookmarkStart w:id="331" w:name="_Toc23312467"/>
      <w:bookmarkEnd w:id="330"/>
      <w:bookmarkEnd w:id="331"/>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7D0D26">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BD182D" w:rsidRDefault="00D37C97" w:rsidP="00D5501B">
            <w:pPr>
              <w:keepNext/>
              <w:spacing w:before="120" w:after="120" w:line="288" w:lineRule="auto"/>
              <w:rPr>
                <w:rFonts w:cs="Calibri"/>
                <w:color w:val="121E23"/>
                <w:lang w:eastAsia="en-AU"/>
              </w:rPr>
            </w:pPr>
            <w:r w:rsidRPr="00BD182D">
              <w:rPr>
                <w:rFonts w:cs="Calibri"/>
                <w:color w:val="121E23"/>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281933" w:rsidRDefault="00D37C97" w:rsidP="00D5501B">
            <w:pPr>
              <w:keepNext/>
              <w:spacing w:before="120" w:after="120" w:line="288" w:lineRule="auto"/>
              <w:rPr>
                <w:rFonts w:cs="Calibri"/>
                <w:color w:val="121E23"/>
                <w:u w:val="single"/>
                <w:lang w:eastAsia="en-AU"/>
              </w:rPr>
            </w:pPr>
            <w:r w:rsidRPr="00BD182D">
              <w:rPr>
                <w:rFonts w:cs="Calibri"/>
                <w:color w:val="121E23"/>
                <w:lang w:eastAsia="en-AU"/>
              </w:rPr>
              <w:t>{sig1_line_1_</w:t>
            </w:r>
            <w:r>
              <w:rPr>
                <w:rFonts w:cs="Calibri"/>
                <w:color w:val="121E23"/>
                <w:lang w:eastAsia="en-AU"/>
              </w:rPr>
              <w:t>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BD182D" w:rsidRDefault="00D37C97" w:rsidP="00D5501B">
            <w:pPr>
              <w:keepNext/>
              <w:spacing w:before="120" w:after="120" w:line="288" w:lineRule="auto"/>
              <w:rPr>
                <w:rFonts w:cs="Calibri"/>
                <w:color w:val="121E23"/>
                <w:lang w:eastAsia="en-AU"/>
              </w:rPr>
            </w:pPr>
            <w:r>
              <w:rPr>
                <w:rFonts w:cs="Calibri"/>
                <w:color w:val="121E23"/>
                <w:lang w:eastAsia="en-AU"/>
              </w:rPr>
              <w:t>{sig2</w:t>
            </w:r>
            <w:r w:rsidRPr="00BD182D">
              <w:rPr>
                <w:rFonts w:cs="Calibri"/>
                <w:color w:val="121E23"/>
                <w:lang w:eastAsia="en-AU"/>
              </w:rPr>
              <w:t>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281933" w:rsidRDefault="00D37C97" w:rsidP="00D5501B">
            <w:pPr>
              <w:keepNext/>
              <w:spacing w:before="120" w:after="120" w:line="288" w:lineRule="auto"/>
              <w:rPr>
                <w:rFonts w:cs="Calibri"/>
                <w:color w:val="121E23"/>
                <w:u w:val="single"/>
                <w:lang w:eastAsia="en-AU"/>
              </w:rPr>
            </w:pPr>
            <w:r>
              <w:rPr>
                <w:rFonts w:cs="Calibri"/>
                <w:color w:val="121E23"/>
                <w:lang w:eastAsia="en-AU"/>
              </w:rPr>
              <w:t>{sig2</w:t>
            </w:r>
            <w:r w:rsidRPr="00BD182D">
              <w:rPr>
                <w:rFonts w:cs="Calibri"/>
                <w:color w:val="121E23"/>
                <w:lang w:eastAsia="en-AU"/>
              </w:rPr>
              <w:t>_line_1_</w:t>
            </w:r>
            <w:r>
              <w:rPr>
                <w:rFonts w:cs="Calibri"/>
                <w:color w:val="121E23"/>
                <w:lang w:eastAsia="en-AU"/>
              </w:rPr>
              <w:t>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sig2_line_2</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sig2_line_2</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lastRenderedPageBreak/>
              <w:t>{</w:t>
            </w:r>
            <w:r>
              <w:rPr>
                <w:rFonts w:cs="Calibri"/>
                <w:color w:val="121E23"/>
                <w:lang w:eastAsia="en-AU"/>
              </w:rPr>
              <w:t>sig2_line_3</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lastRenderedPageBreak/>
              <w:t>{</w:t>
            </w:r>
            <w:r>
              <w:rPr>
                <w:rFonts w:cs="Calibri"/>
                <w:color w:val="121E23"/>
                <w:lang w:eastAsia="en-AU"/>
              </w:rPr>
              <w:t>sig2_line_3</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sig2_line_4</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sig2_line_4</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sig2_line_5</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sig2_line_5</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sig2_line_6</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sig2_line_6</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7"/>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07" w:rsidRDefault="00F54C07" w:rsidP="00791E6C">
      <w:r>
        <w:separator/>
      </w:r>
    </w:p>
  </w:endnote>
  <w:endnote w:type="continuationSeparator" w:id="0">
    <w:p w:rsidR="00F54C07" w:rsidRDefault="00F54C07"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7D0D26" w:rsidP="00916EB5">
    <w:pPr>
      <w:pStyle w:val="Footer"/>
    </w:pPr>
    <w:bookmarkStart w:id="0" w:name="PRIMARYFOOTERSPECBEGIN1"/>
    <w:bookmarkEnd w:id="0"/>
    <w:r>
      <w:rPr>
        <w:rFonts w:cs="Arial"/>
        <w:noProof/>
        <w:sz w:val="14"/>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45.65pt;margin-top:260.9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3203B2" w:rsidRPr="003203B2">
      <w:rPr>
        <w:rFonts w:cs="Arial"/>
        <w:sz w:val="14"/>
      </w:rPr>
      <w:t xml:space="preserve">7022299_080.doc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7D0D26">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7D0D26">
            <w:rPr>
              <w:rStyle w:val="PageNumber"/>
              <w:noProof/>
              <w:color w:val="333333"/>
              <w:sz w:val="16"/>
            </w:rPr>
            <w:t>5</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2" w:name="PRIMARYFOOTERSPECBEGIN4"/>
    <w:bookmarkStart w:id="333" w:name="PRIMARYFOOTERSPECBEGIN3"/>
    <w:bookmarkEnd w:id="332"/>
    <w:bookmarkEnd w:id="333"/>
    <w:r w:rsidRPr="003203B2">
      <w:rPr>
        <w:rFonts w:cs="Arial"/>
        <w:sz w:val="14"/>
      </w:rPr>
      <w:t xml:space="preserve">7022299_080.doc </w:t>
    </w:r>
    <w:bookmarkStart w:id="334" w:name="PRIMARYFOOTERSPECEND3"/>
    <w:bookmarkEnd w:id="33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07" w:rsidRDefault="00F54C07" w:rsidP="00791E6C">
      <w:r>
        <w:separator/>
      </w:r>
    </w:p>
  </w:footnote>
  <w:footnote w:type="continuationSeparator" w:id="0">
    <w:p w:rsidR="00F54C07" w:rsidRDefault="00F54C07" w:rsidP="0079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7D0D2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916EB5" w:rsidRPr="00132A8C" w:rsidTr="00916EB5">
      <w:tc>
        <w:tcPr>
          <w:tcW w:w="3820" w:type="dxa"/>
          <w:shd w:val="clear" w:color="auto" w:fill="auto"/>
        </w:tcPr>
        <w:p w:rsidR="00916EB5" w:rsidRPr="00132A8C" w:rsidRDefault="007D0D26" w:rsidP="00916EB5">
          <w:pPr>
            <w:pStyle w:val="Header"/>
            <w:tabs>
              <w:tab w:val="clear" w:pos="8640"/>
              <w:tab w:val="right" w:pos="9594"/>
            </w:tabs>
            <w:ind w:left="-426" w:firstLine="426"/>
            <w:rPr>
              <w:b w:val="0"/>
              <w:sz w:val="22"/>
              <w:szCs w:val="22"/>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85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E6C"/>
    <w:rsid w:val="000A1432"/>
    <w:rsid w:val="000F1319"/>
    <w:rsid w:val="00107F04"/>
    <w:rsid w:val="00112FF5"/>
    <w:rsid w:val="001240E4"/>
    <w:rsid w:val="00216655"/>
    <w:rsid w:val="00227221"/>
    <w:rsid w:val="00264581"/>
    <w:rsid w:val="002655A8"/>
    <w:rsid w:val="002B464C"/>
    <w:rsid w:val="002E3089"/>
    <w:rsid w:val="002E5D84"/>
    <w:rsid w:val="003203B2"/>
    <w:rsid w:val="003F0905"/>
    <w:rsid w:val="00433D79"/>
    <w:rsid w:val="004E32AB"/>
    <w:rsid w:val="0053190D"/>
    <w:rsid w:val="00532D74"/>
    <w:rsid w:val="00537E21"/>
    <w:rsid w:val="00567308"/>
    <w:rsid w:val="00574CD5"/>
    <w:rsid w:val="005959B6"/>
    <w:rsid w:val="00695856"/>
    <w:rsid w:val="006E1488"/>
    <w:rsid w:val="00705EEE"/>
    <w:rsid w:val="0071264B"/>
    <w:rsid w:val="00725FE0"/>
    <w:rsid w:val="00791E6C"/>
    <w:rsid w:val="007938C5"/>
    <w:rsid w:val="007D0D26"/>
    <w:rsid w:val="008405BD"/>
    <w:rsid w:val="008F5DAE"/>
    <w:rsid w:val="00916EB5"/>
    <w:rsid w:val="00971368"/>
    <w:rsid w:val="009F5331"/>
    <w:rsid w:val="00AB783F"/>
    <w:rsid w:val="00AE755D"/>
    <w:rsid w:val="00B115B4"/>
    <w:rsid w:val="00B57F37"/>
    <w:rsid w:val="00C76696"/>
    <w:rsid w:val="00D039BE"/>
    <w:rsid w:val="00D37C97"/>
    <w:rsid w:val="00D5501B"/>
    <w:rsid w:val="00D77254"/>
    <w:rsid w:val="00D8272E"/>
    <w:rsid w:val="00D90CAA"/>
    <w:rsid w:val="00DC30B5"/>
    <w:rsid w:val="00E56E0C"/>
    <w:rsid w:val="00E80F6D"/>
    <w:rsid w:val="00ED61C0"/>
    <w:rsid w:val="00EF6802"/>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TableLevels"/>
    <w:pPr>
      <w:numPr>
        <w:numId w:val="9"/>
      </w:numPr>
    </w:pPr>
  </w:style>
  <w:style w:type="numbering" w:customStyle="1" w:styleId="Heading2Char">
    <w:name w:val="MOListBullet"/>
    <w:pPr>
      <w:numPr>
        <w:numId w:val="33"/>
      </w:numPr>
    </w:pPr>
  </w:style>
  <w:style w:type="numbering" w:customStyle="1" w:styleId="Heading3Char">
    <w:name w:val="MOAdditional"/>
    <w:pPr>
      <w:numPr>
        <w:numId w:val="24"/>
      </w:numPr>
    </w:pPr>
  </w:style>
  <w:style w:type="numbering" w:customStyle="1" w:styleId="Heading4Char">
    <w:name w:val="moBullets"/>
    <w:pPr>
      <w:numPr>
        <w:numId w:val="7"/>
      </w:numPr>
    </w:pPr>
  </w:style>
  <w:style w:type="numbering" w:customStyle="1" w:styleId="Heading5Char">
    <w:name w:val="MONumbers"/>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00BF6-70C0-4559-8C3A-B77A0754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3368C2CD.dotm</Template>
  <TotalTime>1</TotalTime>
  <Pages>10</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16782</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4</cp:revision>
  <cp:lastPrinted>2017-03-28T05:23:00Z</cp:lastPrinted>
  <dcterms:created xsi:type="dcterms:W3CDTF">2018-06-15T03:07:00Z</dcterms:created>
  <dcterms:modified xsi:type="dcterms:W3CDTF">2018-06-21T02:11:00Z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