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2EE2C" w14:textId="2AE51438" w:rsidR="00170A48" w:rsidRPr="00170A48" w:rsidRDefault="00170A48" w:rsidP="00170A48">
      <w:pPr>
        <w:pStyle w:val="paragraph"/>
        <w:textAlignment w:val="baseline"/>
        <w:rPr>
          <w:lang w:val="en-US"/>
        </w:rPr>
      </w:pPr>
      <w:r>
        <w:rPr>
          <w:rStyle w:val="normaltextrun"/>
          <w:rFonts w:ascii="Calibri" w:hAnsi="Calibri" w:cs="Calibri"/>
          <w:b/>
          <w:bCs/>
          <w:lang w:val="en-GB"/>
        </w:rPr>
        <w:t>IPLCs (Literature Review Questions and References)</w:t>
      </w:r>
      <w:r w:rsidRPr="00170A48">
        <w:rPr>
          <w:rStyle w:val="eop"/>
          <w:rFonts w:ascii="Calibri" w:hAnsi="Calibri" w:cs="Calibri"/>
          <w:lang w:val="en-US"/>
        </w:rPr>
        <w:t> </w:t>
      </w:r>
    </w:p>
    <w:p w14:paraId="5D47E68C" w14:textId="77777777" w:rsidR="00170A48" w:rsidRPr="00170A48" w:rsidRDefault="00170A48" w:rsidP="00170A48">
      <w:pPr>
        <w:pStyle w:val="paragraph"/>
        <w:jc w:val="both"/>
        <w:textAlignment w:val="baseline"/>
        <w:rPr>
          <w:lang w:val="en-US"/>
        </w:rPr>
      </w:pPr>
      <w:r w:rsidRPr="0A71169E">
        <w:rPr>
          <w:rStyle w:val="normaltextrun"/>
          <w:rFonts w:ascii="Calibri" w:hAnsi="Calibri" w:cs="Calibri"/>
          <w:b/>
          <w:bCs/>
          <w:lang w:val="en-GB"/>
        </w:rPr>
        <w:t>Questions for the literature reviews that we need to conduct in our section (and keywords search terms in blue for systematic review):</w:t>
      </w:r>
      <w:r w:rsidRPr="0A71169E">
        <w:rPr>
          <w:rStyle w:val="eop"/>
          <w:rFonts w:ascii="Calibri" w:hAnsi="Calibri" w:cs="Calibri"/>
          <w:lang w:val="en-US"/>
        </w:rPr>
        <w:t> </w:t>
      </w:r>
    </w:p>
    <w:p w14:paraId="7A5D193C" w14:textId="183E85A9" w:rsidR="0A71169E" w:rsidRDefault="0A71169E" w:rsidP="0A71169E">
      <w:pPr>
        <w:pStyle w:val="paragraph"/>
        <w:jc w:val="both"/>
        <w:rPr>
          <w:rStyle w:val="eop"/>
          <w:rFonts w:ascii="Calibri" w:hAnsi="Calibri" w:cs="Calibri"/>
          <w:lang w:val="en-US"/>
        </w:rPr>
      </w:pPr>
    </w:p>
    <w:p w14:paraId="2A647D86" w14:textId="358ECD76" w:rsidR="00170A48" w:rsidRPr="00170A48" w:rsidRDefault="00A03EA5" w:rsidP="00A03EA5">
      <w:pPr>
        <w:pStyle w:val="paragraph"/>
        <w:ind w:left="720"/>
        <w:jc w:val="both"/>
        <w:textAlignment w:val="baseline"/>
        <w:rPr>
          <w:rFonts w:ascii="Calibri" w:hAnsi="Calibri" w:cs="Calibri"/>
          <w:lang w:val="en-US"/>
        </w:rPr>
      </w:pPr>
      <w:r w:rsidRPr="4804476E">
        <w:rPr>
          <w:rStyle w:val="normaltextrun"/>
          <w:rFonts w:ascii="Calibri" w:hAnsi="Calibri" w:cs="Calibri"/>
          <w:b/>
          <w:bCs/>
          <w:lang w:val="en-GB"/>
        </w:rPr>
        <w:t xml:space="preserve">Q1. </w:t>
      </w:r>
      <w:r w:rsidR="00170A48" w:rsidRPr="4804476E">
        <w:rPr>
          <w:rStyle w:val="normaltextrun"/>
          <w:rFonts w:ascii="Calibri" w:hAnsi="Calibri" w:cs="Calibri"/>
          <w:b/>
          <w:bCs/>
          <w:lang w:val="en-GB"/>
        </w:rPr>
        <w:t xml:space="preserve">Why </w:t>
      </w:r>
      <w:r w:rsidR="002748FA" w:rsidRPr="4804476E">
        <w:rPr>
          <w:rStyle w:val="normaltextrun"/>
          <w:rFonts w:ascii="Calibri" w:hAnsi="Calibri" w:cs="Calibri"/>
          <w:b/>
          <w:bCs/>
          <w:lang w:val="en-GB"/>
        </w:rPr>
        <w:t xml:space="preserve">do </w:t>
      </w:r>
      <w:r w:rsidR="28D42A2A" w:rsidRPr="4804476E">
        <w:rPr>
          <w:rStyle w:val="normaltextrun"/>
          <w:rFonts w:ascii="Calibri" w:hAnsi="Calibri" w:cs="Calibri"/>
          <w:b/>
          <w:bCs/>
          <w:lang w:val="en-GB"/>
        </w:rPr>
        <w:t>IPLCs</w:t>
      </w:r>
      <w:r w:rsidR="00170A48" w:rsidRPr="4804476E">
        <w:rPr>
          <w:rStyle w:val="normaltextrun"/>
          <w:rFonts w:ascii="Calibri" w:hAnsi="Calibri" w:cs="Calibri"/>
          <w:b/>
          <w:bCs/>
          <w:lang w:val="en-GB"/>
        </w:rPr>
        <w:t xml:space="preserve"> need to play a key role in creating enabling environment?</w:t>
      </w:r>
      <w:r w:rsidR="00170A48" w:rsidRPr="4804476E">
        <w:rPr>
          <w:rStyle w:val="eop"/>
          <w:rFonts w:ascii="Calibri" w:hAnsi="Calibri" w:cs="Calibri"/>
          <w:lang w:val="en-US"/>
        </w:rPr>
        <w:t> </w:t>
      </w:r>
    </w:p>
    <w:p w14:paraId="6C305066" w14:textId="6AFDCA34" w:rsidR="00170A48" w:rsidRPr="00170A48" w:rsidRDefault="00170A48" w:rsidP="4804476E">
      <w:pPr>
        <w:pStyle w:val="paragraph"/>
        <w:ind w:left="435"/>
        <w:jc w:val="both"/>
        <w:textAlignment w:val="baseline"/>
        <w:rPr>
          <w:rStyle w:val="normaltextrun"/>
          <w:rFonts w:ascii="Calibri" w:hAnsi="Calibri" w:cs="Calibri"/>
          <w:color w:val="0070C0"/>
          <w:sz w:val="22"/>
          <w:szCs w:val="22"/>
          <w:lang w:val="en-GB"/>
        </w:rPr>
      </w:pPr>
      <w:r w:rsidRPr="4804476E">
        <w:rPr>
          <w:rStyle w:val="normaltextrun"/>
          <w:rFonts w:ascii="Wingdings" w:hAnsi="Wingdings"/>
          <w:color w:val="0070C0"/>
          <w:sz w:val="22"/>
          <w:szCs w:val="22"/>
          <w:lang w:val="en-GB"/>
        </w:rPr>
        <w:t></w:t>
      </w:r>
      <w:r w:rsidRPr="4804476E">
        <w:rPr>
          <w:rStyle w:val="normaltextrun"/>
          <w:rFonts w:ascii="Calibri" w:hAnsi="Calibri" w:cs="Calibri"/>
          <w:color w:val="0070C0"/>
          <w:sz w:val="22"/>
          <w:szCs w:val="22"/>
          <w:lang w:val="en-GB"/>
        </w:rPr>
        <w:t xml:space="preserve"> “</w:t>
      </w:r>
      <w:r w:rsidR="002748FA" w:rsidRPr="4804476E">
        <w:rPr>
          <w:rStyle w:val="normaltextrun"/>
          <w:rFonts w:ascii="Calibri" w:hAnsi="Calibri" w:cs="Calibri"/>
          <w:color w:val="0070C0"/>
          <w:sz w:val="22"/>
          <w:szCs w:val="22"/>
          <w:lang w:val="en-GB"/>
        </w:rPr>
        <w:t>indigenous</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indigenous peoples</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local communities</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indigenous knowledge</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local knowledge</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traditional knowledge</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alternative knowledge systems</w:t>
      </w:r>
      <w:r w:rsidRPr="4804476E">
        <w:rPr>
          <w:rStyle w:val="normaltextrun"/>
          <w:rFonts w:ascii="Calibri" w:hAnsi="Calibri" w:cs="Calibri"/>
          <w:color w:val="0070C0"/>
          <w:sz w:val="22"/>
          <w:szCs w:val="22"/>
          <w:lang w:val="en-GB"/>
        </w:rPr>
        <w:t>”,</w:t>
      </w:r>
      <w:r w:rsidR="00A03EA5" w:rsidRPr="4804476E">
        <w:rPr>
          <w:rStyle w:val="normaltextrun"/>
          <w:rFonts w:ascii="Calibri" w:hAnsi="Calibri" w:cs="Calibri"/>
          <w:color w:val="0070C0"/>
          <w:sz w:val="22"/>
          <w:szCs w:val="22"/>
          <w:lang w:val="en-GB"/>
        </w:rPr>
        <w:t xml:space="preserve"> </w:t>
      </w:r>
      <w:r w:rsidRPr="4804476E">
        <w:rPr>
          <w:rStyle w:val="normaltextrun"/>
          <w:rFonts w:ascii="Calibri" w:hAnsi="Calibri" w:cs="Calibri"/>
          <w:color w:val="0070C0"/>
          <w:sz w:val="22"/>
          <w:szCs w:val="22"/>
          <w:lang w:val="en-GB"/>
        </w:rPr>
        <w:t>“</w:t>
      </w:r>
      <w:r w:rsidR="002748FA" w:rsidRPr="4804476E">
        <w:rPr>
          <w:rStyle w:val="normaltextrun"/>
          <w:rFonts w:ascii="Calibri" w:hAnsi="Calibri" w:cs="Calibri"/>
          <w:color w:val="0070C0"/>
          <w:sz w:val="22"/>
          <w:szCs w:val="22"/>
          <w:lang w:val="en-GB"/>
        </w:rPr>
        <w:t>key</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role</w:t>
      </w:r>
      <w:r w:rsidRPr="4804476E">
        <w:rPr>
          <w:rStyle w:val="normaltextrun"/>
          <w:rFonts w:ascii="Calibri" w:hAnsi="Calibri" w:cs="Calibri"/>
          <w:color w:val="0070C0"/>
          <w:sz w:val="22"/>
          <w:szCs w:val="22"/>
          <w:lang w:val="en-GB"/>
        </w:rPr>
        <w:t>”,</w:t>
      </w:r>
      <w:r w:rsidR="002748FA" w:rsidRPr="4804476E">
        <w:rPr>
          <w:rStyle w:val="normaltextrun"/>
          <w:rFonts w:ascii="Calibri" w:hAnsi="Calibri" w:cs="Calibri"/>
          <w:color w:val="0070C0"/>
          <w:sz w:val="22"/>
          <w:szCs w:val="22"/>
          <w:lang w:val="en-GB"/>
        </w:rPr>
        <w:t xml:space="preserve"> “protagonism”,</w:t>
      </w:r>
      <w:r w:rsidRPr="4804476E">
        <w:rPr>
          <w:rStyle w:val="normaltextrun"/>
          <w:rFonts w:ascii="Calibri" w:hAnsi="Calibri" w:cs="Calibri"/>
          <w:color w:val="0070C0"/>
          <w:sz w:val="22"/>
          <w:szCs w:val="22"/>
          <w:lang w:val="en-GB"/>
        </w:rPr>
        <w:t xml:space="preserve"> “</w:t>
      </w:r>
      <w:r w:rsidR="002748FA" w:rsidRPr="4804476E">
        <w:rPr>
          <w:rStyle w:val="normaltextrun"/>
          <w:rFonts w:ascii="Calibri" w:hAnsi="Calibri" w:cs="Calibri"/>
          <w:color w:val="0070C0"/>
          <w:sz w:val="22"/>
          <w:szCs w:val="22"/>
          <w:lang w:val="en-GB"/>
        </w:rPr>
        <w:t>equity</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fairness</w:t>
      </w:r>
      <w:r w:rsidRPr="4804476E">
        <w:rPr>
          <w:rStyle w:val="normaltextrun"/>
          <w:rFonts w:ascii="Calibri" w:hAnsi="Calibri" w:cs="Calibri"/>
          <w:color w:val="0070C0"/>
          <w:sz w:val="22"/>
          <w:szCs w:val="22"/>
          <w:lang w:val="en-GB"/>
        </w:rPr>
        <w:t>”,</w:t>
      </w:r>
      <w:r w:rsidR="002748FA" w:rsidRPr="4804476E">
        <w:rPr>
          <w:rStyle w:val="normaltextrun"/>
          <w:rFonts w:ascii="Calibri" w:hAnsi="Calibri" w:cs="Calibri"/>
          <w:color w:val="0070C0"/>
          <w:sz w:val="22"/>
          <w:szCs w:val="22"/>
          <w:lang w:val="en-GB"/>
        </w:rPr>
        <w:t xml:space="preserve"> “equ</w:t>
      </w:r>
      <w:r w:rsidR="00A03EA5" w:rsidRPr="4804476E">
        <w:rPr>
          <w:rStyle w:val="normaltextrun"/>
          <w:rFonts w:ascii="Calibri" w:hAnsi="Calibri" w:cs="Calibri"/>
          <w:color w:val="0070C0"/>
          <w:sz w:val="22"/>
          <w:szCs w:val="22"/>
          <w:lang w:val="en-GB"/>
        </w:rPr>
        <w:t>itable</w:t>
      </w:r>
      <w:r w:rsidR="002748FA" w:rsidRPr="4804476E">
        <w:rPr>
          <w:rStyle w:val="normaltextrun"/>
          <w:rFonts w:ascii="Calibri" w:hAnsi="Calibri" w:cs="Calibri"/>
          <w:color w:val="0070C0"/>
          <w:sz w:val="22"/>
          <w:szCs w:val="22"/>
          <w:lang w:val="en-GB"/>
        </w:rPr>
        <w:t xml:space="preserve"> share”,</w:t>
      </w:r>
      <w:r w:rsidR="001454CF" w:rsidRPr="4804476E">
        <w:rPr>
          <w:rStyle w:val="normaltextrun"/>
          <w:rFonts w:ascii="Calibri" w:hAnsi="Calibri" w:cs="Calibri"/>
          <w:color w:val="0070C0"/>
          <w:sz w:val="22"/>
          <w:szCs w:val="22"/>
          <w:lang w:val="en-GB"/>
        </w:rPr>
        <w:t xml:space="preserve"> “indigenous economy”, “community economy”,</w:t>
      </w:r>
      <w:r w:rsidR="00270FF2" w:rsidRPr="4804476E">
        <w:rPr>
          <w:rStyle w:val="normaltextrun"/>
          <w:rFonts w:ascii="Calibri" w:hAnsi="Calibri" w:cs="Calibri"/>
          <w:color w:val="0070C0"/>
          <w:sz w:val="22"/>
          <w:szCs w:val="22"/>
          <w:lang w:val="en-GB"/>
        </w:rPr>
        <w:t xml:space="preserve"> </w:t>
      </w:r>
      <w:r w:rsidR="00A03EA5" w:rsidRPr="4804476E">
        <w:rPr>
          <w:rStyle w:val="normaltextrun"/>
          <w:rFonts w:ascii="Calibri" w:hAnsi="Calibri" w:cs="Calibri"/>
          <w:color w:val="0070C0"/>
          <w:sz w:val="22"/>
          <w:szCs w:val="22"/>
          <w:lang w:val="en-GB"/>
        </w:rPr>
        <w:t xml:space="preserve">“sustainability”, “sustainable use”, “biodiversity”, “nature”, </w:t>
      </w:r>
      <w:r w:rsidRPr="4804476E">
        <w:rPr>
          <w:rStyle w:val="normaltextrun"/>
          <w:rFonts w:ascii="Calibri" w:hAnsi="Calibri" w:cs="Calibri"/>
          <w:color w:val="0070C0"/>
          <w:sz w:val="22"/>
          <w:szCs w:val="22"/>
          <w:lang w:val="en-GB"/>
        </w:rPr>
        <w:t>“</w:t>
      </w:r>
      <w:r w:rsidR="002748FA" w:rsidRPr="4804476E">
        <w:rPr>
          <w:rStyle w:val="normaltextrun"/>
          <w:rFonts w:ascii="Calibri" w:hAnsi="Calibri" w:cs="Calibri"/>
          <w:color w:val="0070C0"/>
          <w:sz w:val="22"/>
          <w:szCs w:val="22"/>
          <w:lang w:val="en-GB"/>
        </w:rPr>
        <w:t>business</w:t>
      </w:r>
      <w:r w:rsidRPr="4804476E">
        <w:rPr>
          <w:rStyle w:val="normaltextrun"/>
          <w:rFonts w:ascii="Calibri" w:hAnsi="Calibri" w:cs="Calibri"/>
          <w:color w:val="0070C0"/>
          <w:sz w:val="22"/>
          <w:szCs w:val="22"/>
          <w:lang w:val="en-GB"/>
        </w:rPr>
        <w:t>”, “</w:t>
      </w:r>
      <w:r w:rsidR="002748FA" w:rsidRPr="4804476E">
        <w:rPr>
          <w:rStyle w:val="normaltextrun"/>
          <w:rFonts w:ascii="Calibri" w:hAnsi="Calibri" w:cs="Calibri"/>
          <w:color w:val="0070C0"/>
          <w:sz w:val="22"/>
          <w:szCs w:val="22"/>
          <w:lang w:val="en-GB"/>
        </w:rPr>
        <w:t>impact</w:t>
      </w:r>
      <w:r w:rsidRPr="4804476E">
        <w:rPr>
          <w:rStyle w:val="normaltextrun"/>
          <w:rFonts w:ascii="Calibri" w:hAnsi="Calibri" w:cs="Calibri"/>
          <w:color w:val="0070C0"/>
          <w:sz w:val="22"/>
          <w:szCs w:val="22"/>
          <w:lang w:val="en-GB"/>
        </w:rPr>
        <w:t xml:space="preserve">”, </w:t>
      </w:r>
      <w:r w:rsidR="001454CF" w:rsidRPr="4804476E">
        <w:rPr>
          <w:rStyle w:val="normaltextrun"/>
          <w:rFonts w:ascii="Calibri" w:hAnsi="Calibri" w:cs="Calibri"/>
          <w:color w:val="0070C0"/>
          <w:sz w:val="22"/>
          <w:szCs w:val="22"/>
          <w:lang w:val="en-GB"/>
        </w:rPr>
        <w:t>“negative</w:t>
      </w:r>
      <w:r w:rsidR="75FF2C82" w:rsidRPr="4804476E">
        <w:rPr>
          <w:rStyle w:val="normaltextrun"/>
          <w:rFonts w:ascii="Calibri" w:hAnsi="Calibri" w:cs="Calibri"/>
          <w:color w:val="0070C0"/>
          <w:sz w:val="22"/>
          <w:szCs w:val="22"/>
          <w:lang w:val="en-GB"/>
        </w:rPr>
        <w:t xml:space="preserve"> impact</w:t>
      </w:r>
      <w:r w:rsidR="001454CF" w:rsidRPr="4804476E">
        <w:rPr>
          <w:rStyle w:val="normaltextrun"/>
          <w:rFonts w:ascii="Calibri" w:hAnsi="Calibri" w:cs="Calibri"/>
          <w:color w:val="0070C0"/>
          <w:sz w:val="22"/>
          <w:szCs w:val="22"/>
          <w:lang w:val="en-GB"/>
        </w:rPr>
        <w:t>”, “positive</w:t>
      </w:r>
      <w:r w:rsidR="5CF61532" w:rsidRPr="4804476E">
        <w:rPr>
          <w:rStyle w:val="normaltextrun"/>
          <w:rFonts w:ascii="Calibri" w:hAnsi="Calibri" w:cs="Calibri"/>
          <w:color w:val="0070C0"/>
          <w:sz w:val="22"/>
          <w:szCs w:val="22"/>
          <w:lang w:val="en-GB"/>
        </w:rPr>
        <w:t xml:space="preserve"> impact</w:t>
      </w:r>
      <w:r w:rsidR="001454CF" w:rsidRPr="4804476E">
        <w:rPr>
          <w:rStyle w:val="normaltextrun"/>
          <w:rFonts w:ascii="Calibri" w:hAnsi="Calibri" w:cs="Calibri"/>
          <w:color w:val="0070C0"/>
          <w:sz w:val="22"/>
          <w:szCs w:val="22"/>
          <w:lang w:val="en-GB"/>
        </w:rPr>
        <w:t>”</w:t>
      </w:r>
      <w:r w:rsidR="49ADAA2B" w:rsidRPr="4804476E">
        <w:rPr>
          <w:rStyle w:val="normaltextrun"/>
          <w:rFonts w:ascii="Calibri" w:hAnsi="Calibri" w:cs="Calibri"/>
          <w:color w:val="0070C0"/>
          <w:sz w:val="22"/>
          <w:szCs w:val="22"/>
          <w:lang w:val="en-GB"/>
        </w:rPr>
        <w:t>, “dependence”, “interconnectedness”</w:t>
      </w:r>
    </w:p>
    <w:p w14:paraId="7BDE1A35" w14:textId="4C8FC198" w:rsidR="4804476E" w:rsidRDefault="4804476E" w:rsidP="4804476E">
      <w:pPr>
        <w:pStyle w:val="paragraph"/>
        <w:ind w:left="435"/>
        <w:jc w:val="both"/>
        <w:rPr>
          <w:rStyle w:val="normaltextrun"/>
          <w:rFonts w:ascii="Calibri" w:hAnsi="Calibri" w:cs="Calibri"/>
          <w:color w:val="0070C0"/>
          <w:sz w:val="22"/>
          <w:szCs w:val="22"/>
          <w:lang w:val="en-GB"/>
        </w:rPr>
      </w:pPr>
    </w:p>
    <w:p w14:paraId="4CDB50CD" w14:textId="3C595385" w:rsidR="0A71169E" w:rsidRDefault="00A03EA5" w:rsidP="4804476E">
      <w:pPr>
        <w:pStyle w:val="paragraph"/>
        <w:ind w:left="720"/>
        <w:jc w:val="both"/>
        <w:rPr>
          <w:rFonts w:ascii="Calibri" w:hAnsi="Calibri" w:cs="Calibri"/>
          <w:lang w:val="en-US"/>
        </w:rPr>
      </w:pPr>
      <w:r w:rsidRPr="4804476E">
        <w:rPr>
          <w:rStyle w:val="eop"/>
          <w:rFonts w:ascii="Calibri" w:hAnsi="Calibri" w:cs="Calibri"/>
          <w:b/>
          <w:bCs/>
          <w:lang w:val="en-US"/>
        </w:rPr>
        <w:t xml:space="preserve">Q2. </w:t>
      </w:r>
      <w:r w:rsidR="00170A48" w:rsidRPr="4804476E">
        <w:rPr>
          <w:rStyle w:val="eop"/>
          <w:rFonts w:ascii="Calibri" w:hAnsi="Calibri" w:cs="Calibri"/>
          <w:b/>
          <w:bCs/>
          <w:lang w:val="en-US"/>
        </w:rPr>
        <w:t xml:space="preserve">In which ways may </w:t>
      </w:r>
      <w:r w:rsidR="75BC9D37" w:rsidRPr="4804476E">
        <w:rPr>
          <w:rStyle w:val="eop"/>
          <w:rFonts w:ascii="Calibri" w:hAnsi="Calibri" w:cs="Calibri"/>
          <w:b/>
          <w:bCs/>
          <w:lang w:val="en-US"/>
        </w:rPr>
        <w:t>IPLCs</w:t>
      </w:r>
      <w:r w:rsidR="00170A48" w:rsidRPr="4804476E">
        <w:rPr>
          <w:rStyle w:val="eop"/>
          <w:rFonts w:ascii="Calibri" w:hAnsi="Calibri" w:cs="Calibri"/>
          <w:b/>
          <w:bCs/>
          <w:lang w:val="en-US"/>
        </w:rPr>
        <w:t xml:space="preserve"> use measures of dependence and impact to inform their approach to monitoring government and corporate behaviour </w:t>
      </w:r>
      <w:r w:rsidR="00170A48" w:rsidRPr="4804476E">
        <w:rPr>
          <w:rStyle w:val="normaltextrun"/>
          <w:rFonts w:ascii="Calibri" w:hAnsi="Calibri" w:cs="Calibri"/>
          <w:b/>
          <w:bCs/>
          <w:lang w:val="en-GB"/>
        </w:rPr>
        <w:t>to achieve the 2050 Vision for Biodiversity and the objectives* of the Convention on Biological Diversity?</w:t>
      </w:r>
    </w:p>
    <w:p w14:paraId="718029C2" w14:textId="1C9BF02C" w:rsidR="00170A48" w:rsidRPr="00170A48" w:rsidRDefault="00170A48" w:rsidP="00170A48">
      <w:pPr>
        <w:pStyle w:val="paragraph"/>
        <w:ind w:left="360"/>
        <w:jc w:val="both"/>
        <w:textAlignment w:val="baseline"/>
        <w:rPr>
          <w:lang w:val="en-US"/>
        </w:rPr>
      </w:pPr>
      <w:r w:rsidRPr="4804476E">
        <w:rPr>
          <w:rStyle w:val="normaltextrun"/>
          <w:rFonts w:ascii="Wingdings" w:hAnsi="Wingdings"/>
          <w:color w:val="0070C0"/>
          <w:sz w:val="22"/>
          <w:szCs w:val="22"/>
          <w:lang w:val="en-GB"/>
        </w:rPr>
        <w:t></w:t>
      </w:r>
      <w:r w:rsidRPr="4804476E">
        <w:rPr>
          <w:rStyle w:val="normaltextrun"/>
          <w:rFonts w:ascii="Calibri" w:hAnsi="Calibri" w:cs="Calibri"/>
          <w:color w:val="0070C0"/>
          <w:sz w:val="22"/>
          <w:szCs w:val="22"/>
          <w:lang w:val="en-GB"/>
        </w:rPr>
        <w:t xml:space="preserve"> [All keywords in Q1],</w:t>
      </w:r>
      <w:r w:rsidR="001454CF" w:rsidRPr="4804476E">
        <w:rPr>
          <w:rStyle w:val="normaltextrun"/>
          <w:rFonts w:ascii="Calibri" w:hAnsi="Calibri" w:cs="Calibri"/>
          <w:color w:val="0070C0"/>
          <w:sz w:val="22"/>
          <w:szCs w:val="22"/>
          <w:lang w:val="en-GB"/>
        </w:rPr>
        <w:t xml:space="preserve"> </w:t>
      </w:r>
      <w:r w:rsidR="000535A1" w:rsidRPr="4804476E">
        <w:rPr>
          <w:rStyle w:val="normaltextrun"/>
          <w:rFonts w:ascii="Calibri" w:hAnsi="Calibri" w:cs="Calibri"/>
          <w:color w:val="0070C0"/>
          <w:sz w:val="22"/>
          <w:szCs w:val="22"/>
          <w:lang w:val="en-GB"/>
        </w:rPr>
        <w:t>“measure”, “measurement”,</w:t>
      </w:r>
      <w:r w:rsidR="00270FF2" w:rsidRPr="4804476E">
        <w:rPr>
          <w:rStyle w:val="normaltextrun"/>
          <w:rFonts w:ascii="Calibri" w:hAnsi="Calibri" w:cs="Calibri"/>
          <w:color w:val="0070C0"/>
          <w:sz w:val="22"/>
          <w:szCs w:val="22"/>
          <w:lang w:val="en-GB"/>
        </w:rPr>
        <w:t xml:space="preserve"> “approach”,</w:t>
      </w:r>
      <w:r w:rsidR="001454CF" w:rsidRPr="4804476E">
        <w:rPr>
          <w:rStyle w:val="normaltextrun"/>
          <w:rFonts w:ascii="Calibri" w:hAnsi="Calibri" w:cs="Calibri"/>
          <w:color w:val="0070C0"/>
          <w:sz w:val="22"/>
          <w:szCs w:val="22"/>
          <w:lang w:val="en-GB"/>
        </w:rPr>
        <w:t xml:space="preserve"> “monitoring”, “corporation”, “corporate behaviour”, “government”,</w:t>
      </w:r>
      <w:r w:rsidR="2CBBE356" w:rsidRPr="4804476E">
        <w:rPr>
          <w:rStyle w:val="normaltextrun"/>
          <w:rFonts w:ascii="Calibri" w:hAnsi="Calibri" w:cs="Calibri"/>
          <w:color w:val="0070C0"/>
          <w:sz w:val="22"/>
          <w:szCs w:val="22"/>
          <w:lang w:val="en-GB"/>
        </w:rPr>
        <w:t xml:space="preserve"> “governance,</w:t>
      </w:r>
      <w:r w:rsidR="001454CF" w:rsidRPr="4804476E">
        <w:rPr>
          <w:rStyle w:val="normaltextrun"/>
          <w:rFonts w:ascii="Calibri" w:hAnsi="Calibri" w:cs="Calibri"/>
          <w:color w:val="0070C0"/>
          <w:sz w:val="22"/>
          <w:szCs w:val="22"/>
          <w:lang w:val="en-GB"/>
        </w:rPr>
        <w:t xml:space="preserve"> “regulation”,</w:t>
      </w:r>
      <w:r w:rsidR="5F17CDE1" w:rsidRPr="4804476E">
        <w:rPr>
          <w:rStyle w:val="normaltextrun"/>
          <w:rFonts w:ascii="Calibri" w:hAnsi="Calibri" w:cs="Calibri"/>
          <w:color w:val="0070C0"/>
          <w:sz w:val="22"/>
          <w:szCs w:val="22"/>
          <w:lang w:val="en-GB"/>
        </w:rPr>
        <w:t xml:space="preserve"> “regulatory”, “law”, “mechanism”, “instrument”,</w:t>
      </w:r>
      <w:r w:rsidRPr="4804476E">
        <w:rPr>
          <w:rStyle w:val="normaltextrun"/>
          <w:rFonts w:ascii="Calibri" w:hAnsi="Calibri" w:cs="Calibri"/>
          <w:color w:val="0070C0"/>
          <w:sz w:val="22"/>
          <w:szCs w:val="22"/>
          <w:lang w:val="en-GB"/>
        </w:rPr>
        <w:t xml:space="preserve"> “support”, “2050</w:t>
      </w:r>
      <w:r w:rsidR="000535A1" w:rsidRPr="4804476E">
        <w:rPr>
          <w:rStyle w:val="normaltextrun"/>
          <w:rFonts w:ascii="Calibri" w:hAnsi="Calibri" w:cs="Calibri"/>
          <w:color w:val="0070C0"/>
          <w:sz w:val="22"/>
          <w:szCs w:val="22"/>
          <w:lang w:val="en-GB"/>
        </w:rPr>
        <w:t xml:space="preserve"> V</w:t>
      </w:r>
      <w:r w:rsidRPr="4804476E">
        <w:rPr>
          <w:rStyle w:val="normaltextrun"/>
          <w:rFonts w:ascii="Calibri" w:hAnsi="Calibri" w:cs="Calibri"/>
          <w:color w:val="0070C0"/>
          <w:sz w:val="22"/>
          <w:szCs w:val="22"/>
          <w:lang w:val="en-GB"/>
        </w:rPr>
        <w:t>ision”, “CBD”, “conservation”, “benefit sharing”</w:t>
      </w:r>
    </w:p>
    <w:p w14:paraId="413969C5" w14:textId="6E2F0AFD" w:rsidR="4804476E" w:rsidRDefault="4804476E" w:rsidP="4804476E">
      <w:pPr>
        <w:pStyle w:val="paragraph"/>
        <w:ind w:left="360"/>
        <w:jc w:val="both"/>
        <w:rPr>
          <w:rStyle w:val="normaltextrun"/>
          <w:rFonts w:ascii="Calibri" w:hAnsi="Calibri" w:cs="Calibri"/>
          <w:color w:val="0070C0"/>
          <w:sz w:val="22"/>
          <w:szCs w:val="22"/>
          <w:lang w:val="en-GB"/>
        </w:rPr>
      </w:pPr>
    </w:p>
    <w:p w14:paraId="5CCEF5CE" w14:textId="5A6E080E" w:rsidR="00170A48" w:rsidRPr="00170A48" w:rsidRDefault="00A03EA5" w:rsidP="00A03EA5">
      <w:pPr>
        <w:pStyle w:val="paragraph"/>
        <w:ind w:left="720"/>
        <w:jc w:val="both"/>
        <w:textAlignment w:val="baseline"/>
        <w:rPr>
          <w:rFonts w:ascii="Calibri" w:hAnsi="Calibri" w:cs="Calibri"/>
          <w:lang w:val="en-US"/>
        </w:rPr>
      </w:pPr>
      <w:r>
        <w:rPr>
          <w:rStyle w:val="normaltextrun"/>
          <w:rFonts w:ascii="Calibri" w:hAnsi="Calibri" w:cs="Calibri"/>
          <w:b/>
          <w:bCs/>
          <w:lang w:val="en-US"/>
        </w:rPr>
        <w:t xml:space="preserve">Q3. </w:t>
      </w:r>
      <w:r w:rsidR="00170A48">
        <w:rPr>
          <w:rStyle w:val="normaltextrun"/>
          <w:rFonts w:ascii="Calibri" w:hAnsi="Calibri" w:cs="Calibri"/>
          <w:b/>
          <w:bCs/>
          <w:lang w:val="en-GB"/>
        </w:rPr>
        <w:t>H</w:t>
      </w:r>
      <w:r w:rsidR="00170A48" w:rsidRPr="00170A48">
        <w:rPr>
          <w:rStyle w:val="normaltextrun"/>
          <w:rFonts w:ascii="Calibri" w:hAnsi="Calibri" w:cs="Calibri"/>
          <w:b/>
          <w:bCs/>
          <w:lang w:val="en-GB"/>
        </w:rPr>
        <w:t>ow the outcomes of such measures can be used to raise awareness of business dependencies and impacts, of risks associated with biodiversity loss, and of benefits of business action and collaboration to support biodiversity and nature´s contribution to people, including in relation to indigenous peoples and local communities</w:t>
      </w:r>
      <w:r w:rsidR="002748FA">
        <w:rPr>
          <w:rStyle w:val="eop"/>
          <w:rFonts w:ascii="Calibri" w:hAnsi="Calibri" w:cs="Calibri"/>
          <w:lang w:val="en-US"/>
        </w:rPr>
        <w:t>?</w:t>
      </w:r>
    </w:p>
    <w:p w14:paraId="2E3B00B6" w14:textId="2A217817" w:rsidR="00170A48" w:rsidRDefault="00170A48" w:rsidP="0043366F">
      <w:pPr>
        <w:pStyle w:val="paragraph"/>
        <w:ind w:left="360"/>
        <w:jc w:val="both"/>
        <w:textAlignment w:val="baseline"/>
        <w:rPr>
          <w:lang w:val="en-GB"/>
        </w:rPr>
      </w:pPr>
      <w:r w:rsidRPr="4804476E">
        <w:rPr>
          <w:rStyle w:val="normaltextrun"/>
          <w:rFonts w:ascii="Wingdings" w:hAnsi="Wingdings"/>
          <w:color w:val="0070C0"/>
          <w:sz w:val="22"/>
          <w:szCs w:val="22"/>
          <w:lang w:val="en-GB"/>
        </w:rPr>
        <w:t></w:t>
      </w:r>
      <w:r w:rsidRPr="4804476E">
        <w:rPr>
          <w:rStyle w:val="normaltextrun"/>
          <w:rFonts w:ascii="Calibri" w:hAnsi="Calibri" w:cs="Calibri"/>
          <w:color w:val="0070C0"/>
          <w:sz w:val="22"/>
          <w:szCs w:val="22"/>
          <w:lang w:val="en-GB"/>
        </w:rPr>
        <w:t xml:space="preserve"> [All keywords in Q1], “measure”, “measurement”, </w:t>
      </w:r>
      <w:r w:rsidR="00270FF2" w:rsidRPr="4804476E">
        <w:rPr>
          <w:rStyle w:val="normaltextrun"/>
          <w:rFonts w:ascii="Calibri" w:hAnsi="Calibri" w:cs="Calibri"/>
          <w:color w:val="0070C0"/>
          <w:sz w:val="22"/>
          <w:szCs w:val="22"/>
          <w:lang w:val="en-GB"/>
        </w:rPr>
        <w:t>“</w:t>
      </w:r>
      <w:r w:rsidRPr="4804476E">
        <w:rPr>
          <w:rStyle w:val="normaltextrun"/>
          <w:rFonts w:ascii="Calibri" w:hAnsi="Calibri" w:cs="Calibri"/>
          <w:color w:val="0070C0"/>
          <w:sz w:val="22"/>
          <w:szCs w:val="22"/>
          <w:lang w:val="en-GB"/>
        </w:rPr>
        <w:t xml:space="preserve">approach”, </w:t>
      </w:r>
      <w:r w:rsidR="00270FF2" w:rsidRPr="4804476E">
        <w:rPr>
          <w:rStyle w:val="normaltextrun"/>
          <w:rFonts w:ascii="Calibri" w:hAnsi="Calibri" w:cs="Calibri"/>
          <w:color w:val="0070C0"/>
          <w:sz w:val="22"/>
          <w:szCs w:val="22"/>
          <w:lang w:val="en-GB"/>
        </w:rPr>
        <w:t xml:space="preserve">“outcome”, </w:t>
      </w:r>
      <w:r w:rsidRPr="4804476E">
        <w:rPr>
          <w:rStyle w:val="normaltextrun"/>
          <w:rFonts w:ascii="Calibri" w:hAnsi="Calibri" w:cs="Calibri"/>
          <w:color w:val="0070C0"/>
          <w:sz w:val="22"/>
          <w:szCs w:val="22"/>
          <w:lang w:val="en-GB"/>
        </w:rPr>
        <w:t>“</w:t>
      </w:r>
      <w:r w:rsidR="00270FF2" w:rsidRPr="4804476E">
        <w:rPr>
          <w:rStyle w:val="normaltextrun"/>
          <w:rFonts w:ascii="Calibri" w:hAnsi="Calibri" w:cs="Calibri"/>
          <w:color w:val="0070C0"/>
          <w:sz w:val="22"/>
          <w:szCs w:val="22"/>
          <w:lang w:val="en-GB"/>
        </w:rPr>
        <w:t>awareness</w:t>
      </w:r>
      <w:r w:rsidRPr="4804476E">
        <w:rPr>
          <w:rStyle w:val="normaltextrun"/>
          <w:rFonts w:ascii="Calibri" w:hAnsi="Calibri" w:cs="Calibri"/>
          <w:color w:val="0070C0"/>
          <w:sz w:val="22"/>
          <w:szCs w:val="22"/>
          <w:lang w:val="en-GB"/>
        </w:rPr>
        <w:t xml:space="preserve">”, “risk”, </w:t>
      </w:r>
      <w:r w:rsidR="00270FF2" w:rsidRPr="4804476E">
        <w:rPr>
          <w:rStyle w:val="normaltextrun"/>
          <w:rFonts w:ascii="Calibri" w:hAnsi="Calibri" w:cs="Calibri"/>
          <w:color w:val="0070C0"/>
          <w:sz w:val="22"/>
          <w:szCs w:val="22"/>
          <w:lang w:val="en-GB"/>
        </w:rPr>
        <w:t>“loss</w:t>
      </w:r>
      <w:r w:rsidRPr="4804476E">
        <w:rPr>
          <w:rStyle w:val="normaltextrun"/>
          <w:rFonts w:ascii="Calibri" w:hAnsi="Calibri" w:cs="Calibri"/>
          <w:color w:val="0070C0"/>
          <w:sz w:val="22"/>
          <w:szCs w:val="22"/>
          <w:lang w:val="en-GB"/>
        </w:rPr>
        <w:t>“</w:t>
      </w:r>
      <w:r w:rsidR="00270FF2" w:rsidRPr="4804476E">
        <w:rPr>
          <w:rStyle w:val="normaltextrun"/>
          <w:rFonts w:ascii="Calibri" w:hAnsi="Calibri" w:cs="Calibri"/>
          <w:color w:val="0070C0"/>
          <w:sz w:val="22"/>
          <w:szCs w:val="22"/>
          <w:lang w:val="en-GB"/>
        </w:rPr>
        <w:t>, “biodiversity loss”, “benefit”, “</w:t>
      </w:r>
      <w:r w:rsidRPr="4804476E">
        <w:rPr>
          <w:rStyle w:val="normaltextrun"/>
          <w:rFonts w:ascii="Calibri" w:hAnsi="Calibri" w:cs="Calibri"/>
          <w:color w:val="0070C0"/>
          <w:sz w:val="22"/>
          <w:szCs w:val="22"/>
          <w:lang w:val="en-GB"/>
        </w:rPr>
        <w:t xml:space="preserve">opportunity”, </w:t>
      </w:r>
      <w:r w:rsidR="00270FF2" w:rsidRPr="4804476E">
        <w:rPr>
          <w:rStyle w:val="eop"/>
          <w:rFonts w:ascii="Calibri" w:hAnsi="Calibri" w:cs="Calibri"/>
          <w:color w:val="0070C0"/>
          <w:sz w:val="22"/>
          <w:szCs w:val="22"/>
          <w:lang w:val="en-GB"/>
        </w:rPr>
        <w:t>“action”, “collaboration”, “support”, “nature’s contribution to people”</w:t>
      </w:r>
    </w:p>
    <w:p w14:paraId="6108DF06" w14:textId="77777777" w:rsidR="0043366F" w:rsidRDefault="0043366F" w:rsidP="0043366F">
      <w:pPr>
        <w:pStyle w:val="paragraph"/>
        <w:ind w:left="360"/>
        <w:jc w:val="both"/>
        <w:textAlignment w:val="baseline"/>
        <w:rPr>
          <w:rStyle w:val="eop"/>
          <w:lang w:val="en-GB"/>
        </w:rPr>
      </w:pPr>
    </w:p>
    <w:p w14:paraId="2C60CCC3" w14:textId="77777777" w:rsidR="0043366F" w:rsidRDefault="0043366F" w:rsidP="0043366F">
      <w:pPr>
        <w:pStyle w:val="paragraph"/>
        <w:ind w:left="360"/>
        <w:jc w:val="both"/>
        <w:textAlignment w:val="baseline"/>
        <w:rPr>
          <w:rStyle w:val="eop"/>
          <w:lang w:val="en-GB"/>
        </w:rPr>
      </w:pPr>
    </w:p>
    <w:p w14:paraId="189C17AE" w14:textId="77777777" w:rsidR="0043366F" w:rsidRDefault="0043366F" w:rsidP="0043366F">
      <w:pPr>
        <w:pStyle w:val="paragraph"/>
        <w:ind w:left="360"/>
        <w:jc w:val="both"/>
        <w:textAlignment w:val="baseline"/>
        <w:rPr>
          <w:rStyle w:val="eop"/>
          <w:lang w:val="en-GB"/>
        </w:rPr>
      </w:pPr>
    </w:p>
    <w:p w14:paraId="37452296" w14:textId="77777777" w:rsidR="0043366F" w:rsidRDefault="0043366F" w:rsidP="0043366F">
      <w:pPr>
        <w:pStyle w:val="paragraph"/>
        <w:ind w:left="360"/>
        <w:jc w:val="both"/>
        <w:textAlignment w:val="baseline"/>
        <w:rPr>
          <w:rStyle w:val="eop"/>
          <w:lang w:val="en-GB"/>
        </w:rPr>
      </w:pPr>
    </w:p>
    <w:p w14:paraId="724CAD0E" w14:textId="77777777" w:rsidR="0043366F" w:rsidRDefault="0043366F" w:rsidP="0043366F">
      <w:pPr>
        <w:pStyle w:val="paragraph"/>
        <w:ind w:left="360"/>
        <w:jc w:val="both"/>
        <w:textAlignment w:val="baseline"/>
        <w:rPr>
          <w:rStyle w:val="eop"/>
          <w:lang w:val="en-GB"/>
        </w:rPr>
      </w:pPr>
    </w:p>
    <w:p w14:paraId="0297E6C1" w14:textId="77777777" w:rsidR="0043366F" w:rsidRDefault="0043366F" w:rsidP="0043366F">
      <w:pPr>
        <w:pStyle w:val="paragraph"/>
        <w:ind w:left="360"/>
        <w:jc w:val="both"/>
        <w:textAlignment w:val="baseline"/>
        <w:rPr>
          <w:rStyle w:val="eop"/>
          <w:lang w:val="en-GB"/>
        </w:rPr>
      </w:pPr>
    </w:p>
    <w:p w14:paraId="187C268C" w14:textId="77777777" w:rsidR="0043366F" w:rsidRPr="0043366F" w:rsidRDefault="0043366F" w:rsidP="0043366F">
      <w:pPr>
        <w:pStyle w:val="paragraph"/>
        <w:ind w:left="360"/>
        <w:jc w:val="both"/>
        <w:textAlignment w:val="baseline"/>
        <w:rPr>
          <w:rStyle w:val="eop"/>
          <w:lang w:val="en-GB"/>
        </w:rPr>
      </w:pPr>
    </w:p>
    <w:p w14:paraId="112C65E2" w14:textId="35CB08B7" w:rsidR="00170A48" w:rsidRPr="0043366F" w:rsidRDefault="00170A48" w:rsidP="00170A48">
      <w:pPr>
        <w:pStyle w:val="paragraph"/>
        <w:textAlignment w:val="baseline"/>
        <w:rPr>
          <w:rFonts w:ascii="Calibri" w:hAnsi="Calibri" w:cs="Calibri"/>
          <w:lang w:val="en-US"/>
        </w:rPr>
      </w:pPr>
      <w:r w:rsidRPr="4804476E">
        <w:rPr>
          <w:rStyle w:val="normaltextrun"/>
          <w:rFonts w:ascii="Calibri" w:hAnsi="Calibri" w:cs="Calibri"/>
          <w:b/>
          <w:bCs/>
          <w:lang w:val="en-GB"/>
        </w:rPr>
        <w:lastRenderedPageBreak/>
        <w:t>Key literature references (for possible snowballing review):</w:t>
      </w:r>
      <w:r w:rsidRPr="4804476E">
        <w:rPr>
          <w:rStyle w:val="tabchar"/>
          <w:lang w:val="en-US"/>
        </w:rPr>
        <w:t xml:space="preserve"> </w:t>
      </w:r>
      <w:r w:rsidRPr="4804476E">
        <w:rPr>
          <w:rStyle w:val="eop"/>
          <w:rFonts w:ascii="Calibri" w:hAnsi="Calibri" w:cs="Calibri"/>
          <w:lang w:val="en-US"/>
        </w:rPr>
        <w:t> </w:t>
      </w:r>
    </w:p>
    <w:p w14:paraId="6F4D55AE" w14:textId="285F7FF6" w:rsidR="00170A48" w:rsidRPr="00170A48" w:rsidRDefault="3AE389B8" w:rsidP="00170A48">
      <w:pPr>
        <w:pStyle w:val="paragraph"/>
        <w:textAlignment w:val="baseline"/>
        <w:rPr>
          <w:lang w:val="en-US"/>
        </w:rPr>
      </w:pPr>
      <w:r w:rsidRPr="4804476E">
        <w:rPr>
          <w:rStyle w:val="eop"/>
          <w:rFonts w:ascii="Calibri" w:hAnsi="Calibri" w:cs="Calibri"/>
          <w:sz w:val="22"/>
          <w:szCs w:val="22"/>
          <w:lang w:val="en-US"/>
        </w:rPr>
        <w:t>1. Berkes, F. (1999). Sacred Ecology: Traditional Ecological Knowledge and Resource Management.</w:t>
      </w:r>
    </w:p>
    <w:p w14:paraId="15E848F9" w14:textId="0C92BC1A" w:rsidR="00170A48" w:rsidRPr="00170A48" w:rsidRDefault="3AE389B8" w:rsidP="4804476E">
      <w:pPr>
        <w:pStyle w:val="paragraph"/>
        <w:textAlignment w:val="baseline"/>
        <w:rPr>
          <w:rStyle w:val="eop"/>
          <w:rFonts w:ascii="Calibri" w:hAnsi="Calibri" w:cs="Calibri"/>
          <w:sz w:val="22"/>
          <w:szCs w:val="22"/>
          <w:lang w:val="en-US"/>
        </w:rPr>
      </w:pPr>
      <w:r w:rsidRPr="4804476E">
        <w:rPr>
          <w:rStyle w:val="eop"/>
          <w:rFonts w:ascii="Calibri" w:hAnsi="Calibri" w:cs="Calibri"/>
          <w:sz w:val="22"/>
          <w:szCs w:val="22"/>
          <w:lang w:val="en-US"/>
        </w:rPr>
        <w:t xml:space="preserve">2. </w:t>
      </w:r>
      <w:r w:rsidR="7BDE92AF" w:rsidRPr="4804476E">
        <w:rPr>
          <w:rStyle w:val="eop"/>
          <w:rFonts w:ascii="Calibri" w:hAnsi="Calibri" w:cs="Calibri"/>
          <w:sz w:val="22"/>
          <w:szCs w:val="22"/>
          <w:lang w:val="en-US"/>
        </w:rPr>
        <w:t xml:space="preserve">Clarke, W. C. (1990). Learning from the Past: Traditional Knowledge and Sustainable Development. The Contemporary Pacific, 2(2), 233–253. </w:t>
      </w:r>
      <w:hyperlink r:id="rId8">
        <w:r w:rsidR="7BDE92AF" w:rsidRPr="4804476E">
          <w:rPr>
            <w:rStyle w:val="Hyperlink"/>
            <w:rFonts w:ascii="Calibri" w:hAnsi="Calibri" w:cs="Calibri"/>
            <w:sz w:val="22"/>
            <w:szCs w:val="22"/>
            <w:lang w:val="en-US"/>
          </w:rPr>
          <w:t>http://www.jstor.org/stable/23698358</w:t>
        </w:r>
      </w:hyperlink>
    </w:p>
    <w:p w14:paraId="0FE4AB01" w14:textId="7D5948C2" w:rsidR="00170A48" w:rsidRPr="00170A48" w:rsidRDefault="7BDE92AF" w:rsidP="4804476E">
      <w:pPr>
        <w:pStyle w:val="paragraph"/>
        <w:textAlignment w:val="baseline"/>
        <w:rPr>
          <w:rStyle w:val="eop"/>
          <w:rFonts w:ascii="Calibri" w:hAnsi="Calibri" w:cs="Calibri"/>
          <w:sz w:val="22"/>
          <w:szCs w:val="22"/>
          <w:lang w:val="en-US"/>
        </w:rPr>
      </w:pPr>
      <w:r w:rsidRPr="4804476E">
        <w:rPr>
          <w:rStyle w:val="eop"/>
          <w:rFonts w:ascii="Calibri" w:hAnsi="Calibri" w:cs="Calibri"/>
          <w:sz w:val="22"/>
          <w:szCs w:val="22"/>
          <w:lang w:val="en-US"/>
        </w:rPr>
        <w:t xml:space="preserve">3. Karjala, D. S. (2012). SUSTAINABILITY AND INTELLECTUAL PROPERTY RIGHTS IN TRADITIONAL KNOWLEDGE. Jurimetrics, 53(1), 57–70. </w:t>
      </w:r>
      <w:hyperlink r:id="rId9">
        <w:r w:rsidRPr="4804476E">
          <w:rPr>
            <w:rStyle w:val="Hyperlink"/>
            <w:rFonts w:ascii="Calibri" w:hAnsi="Calibri" w:cs="Calibri"/>
            <w:sz w:val="22"/>
            <w:szCs w:val="22"/>
            <w:lang w:val="en-US"/>
          </w:rPr>
          <w:t>http://www.jstor.org/stable/24395608</w:t>
        </w:r>
      </w:hyperlink>
    </w:p>
    <w:p w14:paraId="0569DFB6" w14:textId="2E93E9B1" w:rsidR="00170A48" w:rsidRPr="00170A48" w:rsidRDefault="7BDE92AF" w:rsidP="4804476E">
      <w:pPr>
        <w:pStyle w:val="paragraph"/>
        <w:textAlignment w:val="baseline"/>
        <w:rPr>
          <w:rStyle w:val="eop"/>
          <w:rFonts w:ascii="Calibri" w:hAnsi="Calibri" w:cs="Calibri"/>
          <w:sz w:val="22"/>
          <w:szCs w:val="22"/>
          <w:lang w:val="en-US"/>
        </w:rPr>
      </w:pPr>
      <w:r w:rsidRPr="4804476E">
        <w:rPr>
          <w:rStyle w:val="eop"/>
          <w:rFonts w:ascii="Calibri" w:hAnsi="Calibri" w:cs="Calibri"/>
          <w:sz w:val="22"/>
          <w:szCs w:val="22"/>
          <w:lang w:val="en-US"/>
        </w:rPr>
        <w:t xml:space="preserve">4. Gadgil, M., Berkes, F., &amp; Folke, C. (1993). Indigenous Knowledge for Biodiversity Conservation. Ambio, 22(2/3), 151–156. </w:t>
      </w:r>
      <w:hyperlink r:id="rId10">
        <w:r w:rsidRPr="4804476E">
          <w:rPr>
            <w:rStyle w:val="Hyperlink"/>
            <w:rFonts w:ascii="Calibri" w:hAnsi="Calibri" w:cs="Calibri"/>
            <w:sz w:val="22"/>
            <w:szCs w:val="22"/>
            <w:lang w:val="en-US"/>
          </w:rPr>
          <w:t>http://www.jstor.org/stable/4314060</w:t>
        </w:r>
      </w:hyperlink>
    </w:p>
    <w:p w14:paraId="5D78F2B5" w14:textId="78D3F008" w:rsidR="00170A48" w:rsidRPr="00170A48" w:rsidRDefault="0043366F" w:rsidP="4804476E">
      <w:pPr>
        <w:pStyle w:val="paragraph"/>
        <w:textAlignment w:val="baseline"/>
        <w:rPr>
          <w:rStyle w:val="eop"/>
          <w:rFonts w:ascii="Calibri" w:hAnsi="Calibri" w:cs="Calibri"/>
          <w:sz w:val="22"/>
          <w:szCs w:val="22"/>
          <w:lang w:val="en-US"/>
        </w:rPr>
      </w:pPr>
      <w:r>
        <w:rPr>
          <w:rStyle w:val="eop"/>
          <w:rFonts w:ascii="Calibri" w:hAnsi="Calibri" w:cs="Calibri"/>
          <w:sz w:val="22"/>
          <w:szCs w:val="22"/>
          <w:lang w:val="en-US"/>
        </w:rPr>
        <w:t>5</w:t>
      </w:r>
      <w:r w:rsidR="7BDE92AF" w:rsidRPr="4804476E">
        <w:rPr>
          <w:rStyle w:val="eop"/>
          <w:rFonts w:ascii="Calibri" w:hAnsi="Calibri" w:cs="Calibri"/>
          <w:sz w:val="22"/>
          <w:szCs w:val="22"/>
          <w:lang w:val="en-US"/>
        </w:rPr>
        <w:t xml:space="preserve">. Bohensky, E. L., &amp; Maru, Y. (2011). Indigenous Knowledge, Science, and Resilience: What Have We Learned from a Decade of International Literature on “Integration”? Ecology and Society, 16(4). </w:t>
      </w:r>
      <w:hyperlink r:id="rId11">
        <w:r w:rsidR="7BDE92AF" w:rsidRPr="4804476E">
          <w:rPr>
            <w:rStyle w:val="Hyperlink"/>
            <w:rFonts w:ascii="Calibri" w:hAnsi="Calibri" w:cs="Calibri"/>
            <w:sz w:val="22"/>
            <w:szCs w:val="22"/>
            <w:lang w:val="en-US"/>
          </w:rPr>
          <w:t>http://www.jstor.org/stable/26268978</w:t>
        </w:r>
      </w:hyperlink>
    </w:p>
    <w:p w14:paraId="0355E374" w14:textId="4F7888A0" w:rsidR="00170A48" w:rsidRPr="0043366F" w:rsidRDefault="0043366F" w:rsidP="4804476E">
      <w:pPr>
        <w:pStyle w:val="paragraph"/>
        <w:textAlignment w:val="baseline"/>
        <w:rPr>
          <w:rFonts w:ascii="Calibri" w:hAnsi="Calibri" w:cs="Calibri"/>
          <w:sz w:val="22"/>
          <w:szCs w:val="22"/>
          <w:lang w:val="en-US"/>
        </w:rPr>
      </w:pPr>
      <w:r>
        <w:rPr>
          <w:rFonts w:ascii="Calibri" w:hAnsi="Calibri" w:cs="Calibri"/>
          <w:sz w:val="22"/>
          <w:szCs w:val="22"/>
          <w:lang w:val="en-US"/>
        </w:rPr>
        <w:t>6</w:t>
      </w:r>
      <w:r w:rsidR="244D7135" w:rsidRPr="4804476E">
        <w:rPr>
          <w:rFonts w:ascii="Calibri" w:hAnsi="Calibri" w:cs="Calibri"/>
          <w:sz w:val="22"/>
          <w:szCs w:val="22"/>
          <w:lang w:val="en-US"/>
        </w:rPr>
        <w:t xml:space="preserve">. Hershey, R. A. (2019). ‘PARADIGM WARS’ REVISITED: New Eyes On Indigenous Peoples’ Resistance To Globalization. The Indigenous Peoples’ Journal of Law, Culture, &amp; Resistance, 5, 43–116. </w:t>
      </w:r>
      <w:hyperlink r:id="rId12">
        <w:r w:rsidR="244D7135" w:rsidRPr="4804476E">
          <w:rPr>
            <w:rStyle w:val="Hyperlink"/>
            <w:rFonts w:ascii="Calibri" w:hAnsi="Calibri" w:cs="Calibri"/>
            <w:sz w:val="22"/>
            <w:szCs w:val="22"/>
            <w:lang w:val="en-US"/>
          </w:rPr>
          <w:t>https://www.jstor.org/stable/48671864</w:t>
        </w:r>
      </w:hyperlink>
    </w:p>
    <w:p w14:paraId="0C781060" w14:textId="4953DFE0" w:rsidR="00170A48" w:rsidRPr="00170A48" w:rsidRDefault="0043366F" w:rsidP="4804476E">
      <w:pPr>
        <w:pStyle w:val="paragraph"/>
        <w:textAlignment w:val="baseline"/>
        <w:rPr>
          <w:rFonts w:ascii="Calibri" w:hAnsi="Calibri" w:cs="Calibri"/>
          <w:sz w:val="22"/>
          <w:szCs w:val="22"/>
          <w:lang w:val="en-US"/>
        </w:rPr>
      </w:pPr>
      <w:r>
        <w:rPr>
          <w:rFonts w:ascii="Calibri" w:hAnsi="Calibri" w:cs="Calibri"/>
          <w:sz w:val="22"/>
          <w:szCs w:val="22"/>
          <w:lang w:val="en-US"/>
        </w:rPr>
        <w:t>7</w:t>
      </w:r>
      <w:r w:rsidR="1257B473" w:rsidRPr="4804476E">
        <w:rPr>
          <w:rFonts w:ascii="Calibri" w:hAnsi="Calibri" w:cs="Calibri"/>
          <w:sz w:val="22"/>
          <w:szCs w:val="22"/>
          <w:lang w:val="en-US"/>
        </w:rPr>
        <w:t xml:space="preserve">. Adjei, P., &amp; Centre for International Governance Innovation. (2020). Implementing the UN Declaration on the Rights of Indigenous Peoples: Protecting Traditional Cultural Expressions and Traditional Knowledge. In UNDRIP Implementation: Comparative Approaches, Indigenous Voices from CANZUS (pp. 89–97). Centre for International Governance Innovation. </w:t>
      </w:r>
      <w:hyperlink r:id="rId13">
        <w:r w:rsidR="1257B473" w:rsidRPr="4804476E">
          <w:rPr>
            <w:rStyle w:val="Hyperlink"/>
            <w:rFonts w:ascii="Calibri" w:hAnsi="Calibri" w:cs="Calibri"/>
            <w:sz w:val="22"/>
            <w:szCs w:val="22"/>
            <w:lang w:val="en-US"/>
          </w:rPr>
          <w:t>http://www.jstor.org/stable/resrep24304.11</w:t>
        </w:r>
      </w:hyperlink>
    </w:p>
    <w:p w14:paraId="3311A4BA" w14:textId="3FA15686" w:rsidR="00170A48" w:rsidRPr="00170A48" w:rsidRDefault="0043366F" w:rsidP="4804476E">
      <w:pPr>
        <w:pStyle w:val="paragraph"/>
        <w:textAlignment w:val="baseline"/>
        <w:rPr>
          <w:rFonts w:ascii="Calibri" w:hAnsi="Calibri" w:cs="Calibri"/>
          <w:sz w:val="22"/>
          <w:szCs w:val="22"/>
          <w:lang w:val="en-US"/>
        </w:rPr>
      </w:pPr>
      <w:r>
        <w:rPr>
          <w:rFonts w:ascii="Calibri" w:hAnsi="Calibri" w:cs="Calibri"/>
          <w:sz w:val="22"/>
          <w:szCs w:val="22"/>
          <w:lang w:val="en-US"/>
        </w:rPr>
        <w:t>8</w:t>
      </w:r>
      <w:r w:rsidR="1257B473" w:rsidRPr="4804476E">
        <w:rPr>
          <w:rFonts w:ascii="Calibri" w:hAnsi="Calibri" w:cs="Calibri"/>
          <w:sz w:val="22"/>
          <w:szCs w:val="22"/>
          <w:lang w:val="en-US"/>
        </w:rPr>
        <w:t xml:space="preserve">. </w:t>
      </w:r>
      <w:r w:rsidR="1DB3D53E" w:rsidRPr="4804476E">
        <w:rPr>
          <w:rFonts w:ascii="Calibri" w:hAnsi="Calibri" w:cs="Calibri"/>
          <w:sz w:val="22"/>
          <w:szCs w:val="22"/>
          <w:lang w:val="en-US"/>
        </w:rPr>
        <w:t xml:space="preserve">Petoskey, J. M. (2020). INTERNATIONAL TRADITIONAL KNOWLEDGE PROTECTION AND INDIGENOUS SELF DETERMINATION. The Indigenous Peoples’ Journal of Law, Culture, &amp; Resistance, 6, 117–138. </w:t>
      </w:r>
      <w:hyperlink r:id="rId14">
        <w:r w:rsidR="1DB3D53E" w:rsidRPr="4804476E">
          <w:rPr>
            <w:rStyle w:val="Hyperlink"/>
            <w:rFonts w:ascii="Calibri" w:hAnsi="Calibri" w:cs="Calibri"/>
            <w:sz w:val="22"/>
            <w:szCs w:val="22"/>
            <w:lang w:val="en-US"/>
          </w:rPr>
          <w:t>https://www.jstor.org/stable/48671872</w:t>
        </w:r>
      </w:hyperlink>
    </w:p>
    <w:p w14:paraId="23535441" w14:textId="3490F5FA" w:rsidR="00170A48" w:rsidRPr="00170A48" w:rsidRDefault="0043366F" w:rsidP="4804476E">
      <w:pPr>
        <w:pStyle w:val="paragraph"/>
        <w:textAlignment w:val="baseline"/>
        <w:rPr>
          <w:rFonts w:ascii="Calibri" w:hAnsi="Calibri" w:cs="Calibri"/>
          <w:sz w:val="22"/>
          <w:szCs w:val="22"/>
          <w:lang w:val="en-US"/>
        </w:rPr>
      </w:pPr>
      <w:r>
        <w:rPr>
          <w:rFonts w:ascii="Calibri" w:hAnsi="Calibri" w:cs="Calibri"/>
          <w:sz w:val="22"/>
          <w:szCs w:val="22"/>
          <w:lang w:val="en-US"/>
        </w:rPr>
        <w:t>9</w:t>
      </w:r>
      <w:r w:rsidR="7296191B" w:rsidRPr="4804476E">
        <w:rPr>
          <w:rFonts w:ascii="Calibri" w:hAnsi="Calibri" w:cs="Calibri"/>
          <w:sz w:val="22"/>
          <w:szCs w:val="22"/>
          <w:lang w:val="en-US"/>
        </w:rPr>
        <w:t xml:space="preserve">. Dawson, N., Coolsaet, B., Sterling, E., Loveridge, R., Gross-Camp, N., Wongbusarakum, S., Sangha, K., Scherl, L., Phan, H., Zafra-Calvo, N., Lavey, W., Byakagaba, P., Chenet, A., Bennett, N., Mansourian, S., Rosado, F., Dawson, N., Coolsaet, B., &amp; Rosado-May, F. (2021). The role of Indigenous peoples and local communities in effective and equitable conservation. Ecology and Society, 26. </w:t>
      </w:r>
      <w:hyperlink r:id="rId15">
        <w:r w:rsidR="7296191B" w:rsidRPr="4804476E">
          <w:rPr>
            <w:rStyle w:val="Hyperlink"/>
            <w:rFonts w:ascii="Calibri" w:hAnsi="Calibri" w:cs="Calibri"/>
            <w:sz w:val="22"/>
            <w:szCs w:val="22"/>
            <w:lang w:val="en-US"/>
          </w:rPr>
          <w:t>https://doi.org/10.5751/ES-12625-260319</w:t>
        </w:r>
      </w:hyperlink>
    </w:p>
    <w:p w14:paraId="705B6F52" w14:textId="02183A59"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t>10</w:t>
      </w:r>
      <w:r w:rsidR="76D397FD" w:rsidRPr="4804476E">
        <w:rPr>
          <w:rFonts w:ascii="Calibri" w:hAnsi="Calibri" w:cs="Calibri"/>
          <w:sz w:val="22"/>
          <w:szCs w:val="22"/>
          <w:lang w:val="en-US"/>
        </w:rPr>
        <w:t xml:space="preserve">. Smith, T., Beagley, L., Bull, J., Milner-Gulland, E. J., Smith, M., Vorhies, F., &amp; E. Addison, P. F. (2019). Biodiversity means business: Reframing global biodiversity goals for the private sector. Conservation Letters, 13(1), e12690. </w:t>
      </w:r>
      <w:hyperlink r:id="rId16">
        <w:r w:rsidR="76D397FD" w:rsidRPr="4804476E">
          <w:rPr>
            <w:rStyle w:val="Hyperlink"/>
            <w:rFonts w:ascii="Calibri" w:hAnsi="Calibri" w:cs="Calibri"/>
            <w:sz w:val="22"/>
            <w:szCs w:val="22"/>
            <w:lang w:val="en-US"/>
          </w:rPr>
          <w:t>https://doi.org/10.1111/conl.12690</w:t>
        </w:r>
      </w:hyperlink>
    </w:p>
    <w:p w14:paraId="5AB200E9" w14:textId="5FE43D41"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t>11</w:t>
      </w:r>
      <w:r w:rsidR="4F94AE6A" w:rsidRPr="4804476E">
        <w:rPr>
          <w:rFonts w:ascii="Calibri" w:hAnsi="Calibri" w:cs="Calibri"/>
          <w:sz w:val="22"/>
          <w:szCs w:val="22"/>
          <w:lang w:val="en-US"/>
        </w:rPr>
        <w:t xml:space="preserve">. Watson, A., Matt, R., Knotek, K., Williams, D. R., &amp; Yung, L. (2011). Traditional Wisdom: Protecting Relationships with Wilderness as a Cultural Landscape. Ecology and Society, 16(1). </w:t>
      </w:r>
      <w:hyperlink r:id="rId17">
        <w:r w:rsidR="4F94AE6A" w:rsidRPr="4804476E">
          <w:rPr>
            <w:rStyle w:val="Hyperlink"/>
            <w:rFonts w:ascii="Calibri" w:hAnsi="Calibri" w:cs="Calibri"/>
            <w:sz w:val="22"/>
            <w:szCs w:val="22"/>
            <w:lang w:val="en-US"/>
          </w:rPr>
          <w:t>http://www.jstor.org/stable/26268851</w:t>
        </w:r>
      </w:hyperlink>
    </w:p>
    <w:p w14:paraId="5728C53F" w14:textId="1B3930F8"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t>12</w:t>
      </w:r>
      <w:r w:rsidR="542EBAC5" w:rsidRPr="4804476E">
        <w:rPr>
          <w:rFonts w:ascii="Calibri" w:hAnsi="Calibri" w:cs="Calibri"/>
          <w:sz w:val="22"/>
          <w:szCs w:val="22"/>
          <w:lang w:val="en-US"/>
        </w:rPr>
        <w:t xml:space="preserve">. </w:t>
      </w:r>
      <w:r w:rsidR="30DB7757" w:rsidRPr="4804476E">
        <w:rPr>
          <w:rFonts w:ascii="Calibri" w:hAnsi="Calibri" w:cs="Calibri"/>
          <w:sz w:val="22"/>
          <w:szCs w:val="22"/>
          <w:lang w:val="en-US"/>
        </w:rPr>
        <w:t xml:space="preserve">Zeppel, H. (2010). Managing cultural values in sustainable tourism: Conflicts in protected areas. Tourism and Hospitality Research, 10(2), 93–104. </w:t>
      </w:r>
      <w:hyperlink r:id="rId18">
        <w:r w:rsidR="30DB7757" w:rsidRPr="4804476E">
          <w:rPr>
            <w:rStyle w:val="Hyperlink"/>
            <w:rFonts w:ascii="Calibri" w:hAnsi="Calibri" w:cs="Calibri"/>
            <w:sz w:val="22"/>
            <w:szCs w:val="22"/>
            <w:lang w:val="en-US"/>
          </w:rPr>
          <w:t>http://www.jstor.org/stable/23745316</w:t>
        </w:r>
      </w:hyperlink>
    </w:p>
    <w:p w14:paraId="3038252E" w14:textId="4EFC8253"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t>13</w:t>
      </w:r>
      <w:r w:rsidR="2790398E" w:rsidRPr="4804476E">
        <w:rPr>
          <w:rFonts w:ascii="Calibri" w:hAnsi="Calibri" w:cs="Calibri"/>
          <w:sz w:val="22"/>
          <w:szCs w:val="22"/>
          <w:lang w:val="en-US"/>
        </w:rPr>
        <w:t xml:space="preserve">. Ekpe, E. K. (2013). A Review of Economic Instruments Employed for Biodiversity Conservation. Consilience, 9, 16–32. </w:t>
      </w:r>
      <w:hyperlink r:id="rId19">
        <w:r w:rsidR="2790398E" w:rsidRPr="4804476E">
          <w:rPr>
            <w:rStyle w:val="Hyperlink"/>
            <w:rFonts w:ascii="Calibri" w:hAnsi="Calibri" w:cs="Calibri"/>
            <w:sz w:val="22"/>
            <w:szCs w:val="22"/>
            <w:lang w:val="en-US"/>
          </w:rPr>
          <w:t>http://www.jstor.org/stable/26476123</w:t>
        </w:r>
      </w:hyperlink>
    </w:p>
    <w:p w14:paraId="3DBF9F87" w14:textId="2600D015"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lastRenderedPageBreak/>
        <w:t>14</w:t>
      </w:r>
      <w:r w:rsidR="228C760D" w:rsidRPr="4804476E">
        <w:rPr>
          <w:rFonts w:ascii="Calibri" w:hAnsi="Calibri" w:cs="Calibri"/>
          <w:sz w:val="22"/>
          <w:szCs w:val="22"/>
          <w:lang w:val="en-US"/>
        </w:rPr>
        <w:t xml:space="preserve">. Biller, D. (2018). The Economics of Biodiversity Loss. Copenhagen Consensus Center. </w:t>
      </w:r>
      <w:hyperlink r:id="rId20">
        <w:r w:rsidR="228C760D" w:rsidRPr="4804476E">
          <w:rPr>
            <w:rStyle w:val="Hyperlink"/>
            <w:rFonts w:ascii="Calibri" w:hAnsi="Calibri" w:cs="Calibri"/>
            <w:sz w:val="22"/>
            <w:szCs w:val="22"/>
            <w:lang w:val="en-US"/>
          </w:rPr>
          <w:t>http://www.jstor.org/stable/resrep16365</w:t>
        </w:r>
      </w:hyperlink>
    </w:p>
    <w:p w14:paraId="000B3157" w14:textId="6A7B3FA2"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t>15</w:t>
      </w:r>
      <w:r w:rsidR="5178283E" w:rsidRPr="4804476E">
        <w:rPr>
          <w:rFonts w:ascii="Calibri" w:hAnsi="Calibri" w:cs="Calibri"/>
          <w:sz w:val="22"/>
          <w:szCs w:val="22"/>
          <w:lang w:val="en-US"/>
        </w:rPr>
        <w:t xml:space="preserve">. Gunn, A. S. (2001). Environmental Ethics and Trophy Hunting. Ethics and the Environment, 6(1), 68–95. </w:t>
      </w:r>
      <w:hyperlink r:id="rId21">
        <w:r w:rsidR="5178283E" w:rsidRPr="4804476E">
          <w:rPr>
            <w:rStyle w:val="Hyperlink"/>
            <w:rFonts w:ascii="Calibri" w:hAnsi="Calibri" w:cs="Calibri"/>
            <w:sz w:val="22"/>
            <w:szCs w:val="22"/>
            <w:lang w:val="en-US"/>
          </w:rPr>
          <w:t>http://www.jstor.org/stable/40339004</w:t>
        </w:r>
      </w:hyperlink>
    </w:p>
    <w:p w14:paraId="73A7ABD6" w14:textId="17434597" w:rsidR="00170A48" w:rsidRPr="00170A48" w:rsidRDefault="004E6F15" w:rsidP="4804476E">
      <w:pPr>
        <w:pStyle w:val="paragraph"/>
        <w:textAlignment w:val="baseline"/>
        <w:rPr>
          <w:rFonts w:ascii="Calibri" w:hAnsi="Calibri" w:cs="Calibri"/>
          <w:sz w:val="22"/>
          <w:szCs w:val="22"/>
          <w:lang w:val="en-US"/>
        </w:rPr>
      </w:pPr>
      <w:r>
        <w:rPr>
          <w:rFonts w:ascii="Calibri" w:hAnsi="Calibri" w:cs="Calibri"/>
          <w:sz w:val="22"/>
          <w:szCs w:val="22"/>
          <w:lang w:val="en-US"/>
        </w:rPr>
        <w:t>16</w:t>
      </w:r>
      <w:r w:rsidR="0AB1D945" w:rsidRPr="4804476E">
        <w:rPr>
          <w:rFonts w:ascii="Calibri" w:hAnsi="Calibri" w:cs="Calibri"/>
          <w:sz w:val="22"/>
          <w:szCs w:val="22"/>
          <w:lang w:val="en-US"/>
        </w:rPr>
        <w:t xml:space="preserve">. </w:t>
      </w:r>
      <w:r w:rsidR="4CA67461" w:rsidRPr="4804476E">
        <w:rPr>
          <w:rFonts w:ascii="Calibri" w:hAnsi="Calibri" w:cs="Calibri"/>
          <w:sz w:val="22"/>
          <w:szCs w:val="22"/>
          <w:lang w:val="en-US"/>
        </w:rPr>
        <w:t xml:space="preserve"> Verbos, A. K., Henry, E., &amp; Peredo, A. M. (Eds.). (2017). Indigenous aspirations and rights: The case for responsible business and management. Routledge.</w:t>
      </w:r>
    </w:p>
    <w:p w14:paraId="688DB3BF" w14:textId="21AFD6F2" w:rsidR="00170A48" w:rsidRPr="00170A48" w:rsidRDefault="004E6F15" w:rsidP="4804476E">
      <w:pPr>
        <w:textAlignment w:val="baseline"/>
        <w:rPr>
          <w:rFonts w:ascii="Calibri" w:eastAsia="Calibri" w:hAnsi="Calibri" w:cs="Calibri"/>
          <w:lang w:val="en-US"/>
        </w:rPr>
      </w:pPr>
      <w:r>
        <w:rPr>
          <w:rFonts w:ascii="Calibri" w:hAnsi="Calibri" w:cs="Calibri"/>
          <w:lang w:val="en-US"/>
        </w:rPr>
        <w:t>17</w:t>
      </w:r>
      <w:r w:rsidR="4CA67461" w:rsidRPr="4804476E">
        <w:rPr>
          <w:rFonts w:ascii="Calibri" w:hAnsi="Calibri" w:cs="Calibri"/>
          <w:lang w:val="en-US"/>
        </w:rPr>
        <w:t xml:space="preserve">. </w:t>
      </w:r>
      <w:r w:rsidR="4CA67461" w:rsidRPr="4804476E">
        <w:rPr>
          <w:lang w:val="en-US"/>
        </w:rPr>
        <w:t xml:space="preserve">Horowitz, L. S., Keeling, A., Lévesque, F., Rodon, T., Schott, S., &amp; Thériault, S. (2018). Indigenous peoples’ relationships to large-scale mining in post/colonial contexts: Toward multidisciplinary comparative perspectives. </w:t>
      </w:r>
      <w:r w:rsidR="4CA67461" w:rsidRPr="4804476E">
        <w:rPr>
          <w:i/>
          <w:iCs/>
          <w:lang w:val="en-US"/>
        </w:rPr>
        <w:t>The Extractive Industries and Society</w:t>
      </w:r>
      <w:r w:rsidR="4CA67461" w:rsidRPr="4804476E">
        <w:rPr>
          <w:lang w:val="en-US"/>
        </w:rPr>
        <w:t xml:space="preserve">, </w:t>
      </w:r>
      <w:r w:rsidR="4CA67461" w:rsidRPr="4804476E">
        <w:rPr>
          <w:i/>
          <w:iCs/>
          <w:lang w:val="en-US"/>
        </w:rPr>
        <w:t>5</w:t>
      </w:r>
      <w:r w:rsidR="4CA67461" w:rsidRPr="4804476E">
        <w:rPr>
          <w:lang w:val="en-US"/>
        </w:rPr>
        <w:t>(3), 404-414.</w:t>
      </w:r>
      <w:r w:rsidR="744A2465" w:rsidRPr="4804476E">
        <w:rPr>
          <w:lang w:val="en-US"/>
        </w:rPr>
        <w:t xml:space="preserve"> </w:t>
      </w:r>
      <w:hyperlink r:id="rId22">
        <w:r w:rsidR="744A2465" w:rsidRPr="4804476E">
          <w:rPr>
            <w:rStyle w:val="Hyperlink"/>
            <w:rFonts w:ascii="Calibri" w:eastAsia="Calibri" w:hAnsi="Calibri" w:cs="Calibri"/>
            <w:lang w:val="en-US"/>
          </w:rPr>
          <w:t>https://doi.org/10.1016/j.exis.2018.05.004</w:t>
        </w:r>
      </w:hyperlink>
    </w:p>
    <w:p w14:paraId="18CE59C4" w14:textId="69DB010F" w:rsidR="00170A48" w:rsidRPr="00170A48" w:rsidRDefault="004E6F15" w:rsidP="4804476E">
      <w:pPr>
        <w:textAlignment w:val="baseline"/>
        <w:rPr>
          <w:lang w:val="en-US"/>
        </w:rPr>
      </w:pPr>
      <w:r>
        <w:rPr>
          <w:lang w:val="en-US"/>
        </w:rPr>
        <w:t>18</w:t>
      </w:r>
      <w:r w:rsidR="4CA67461" w:rsidRPr="4804476E">
        <w:rPr>
          <w:lang w:val="en-US"/>
        </w:rPr>
        <w:t xml:space="preserve">. </w:t>
      </w:r>
      <w:r w:rsidR="415E1BED" w:rsidRPr="4804476E">
        <w:rPr>
          <w:rFonts w:ascii="Calibri" w:eastAsia="Calibri" w:hAnsi="Calibri" w:cs="Calibri"/>
          <w:lang w:val="en-US"/>
        </w:rPr>
        <w:t xml:space="preserve">Haller, T. (Ed.). (2007). </w:t>
      </w:r>
      <w:r w:rsidR="415E1BED" w:rsidRPr="004E6F15">
        <w:rPr>
          <w:rFonts w:ascii="Calibri" w:eastAsia="Calibri" w:hAnsi="Calibri" w:cs="Calibri"/>
          <w:iCs/>
          <w:lang w:val="en-US"/>
        </w:rPr>
        <w:t>Fossil fuels, oil companies, and indigenous peoples: strategies of multinational oil companies, states, and ethnic minorities: impact on environment, livelihoods, and cultural change</w:t>
      </w:r>
      <w:r w:rsidR="415E1BED" w:rsidRPr="4804476E">
        <w:rPr>
          <w:rFonts w:ascii="Calibri" w:eastAsia="Calibri" w:hAnsi="Calibri" w:cs="Calibri"/>
          <w:lang w:val="en-US"/>
        </w:rPr>
        <w:t xml:space="preserve"> (Vol. 1). LIT Verlag Münster.</w:t>
      </w:r>
    </w:p>
    <w:p w14:paraId="6BAD8E8E" w14:textId="1E539A46" w:rsidR="00170A48" w:rsidRPr="00170A48" w:rsidRDefault="004E6F15" w:rsidP="4804476E">
      <w:pPr>
        <w:textAlignment w:val="baseline"/>
        <w:rPr>
          <w:rFonts w:ascii="Calibri" w:eastAsia="Calibri" w:hAnsi="Calibri" w:cs="Calibri"/>
          <w:lang w:val="en-US"/>
        </w:rPr>
      </w:pPr>
      <w:r>
        <w:rPr>
          <w:lang w:val="pt-BR"/>
        </w:rPr>
        <w:t>19</w:t>
      </w:r>
      <w:r w:rsidR="3813ED91" w:rsidRPr="0043366F">
        <w:rPr>
          <w:lang w:val="pt-BR"/>
        </w:rPr>
        <w:t xml:space="preserve">. </w:t>
      </w:r>
      <w:r w:rsidR="3813ED91" w:rsidRPr="0043366F">
        <w:rPr>
          <w:rFonts w:ascii="Calibri" w:eastAsia="Calibri" w:hAnsi="Calibri" w:cs="Calibri"/>
          <w:lang w:val="pt-BR"/>
        </w:rPr>
        <w:t xml:space="preserve">Coria, Jessica, and Enrique Calfucura. </w:t>
      </w:r>
      <w:r w:rsidR="3813ED91" w:rsidRPr="4804476E">
        <w:rPr>
          <w:rFonts w:ascii="Calibri" w:eastAsia="Calibri" w:hAnsi="Calibri" w:cs="Calibri"/>
          <w:lang w:val="en-US"/>
        </w:rPr>
        <w:t xml:space="preserve">"Ecotourism and the development of indigenous communities: The good, the bad, and the ugly." </w:t>
      </w:r>
      <w:r w:rsidR="3813ED91" w:rsidRPr="4804476E">
        <w:rPr>
          <w:rFonts w:ascii="Calibri" w:eastAsia="Calibri" w:hAnsi="Calibri" w:cs="Calibri"/>
          <w:i/>
          <w:iCs/>
          <w:lang w:val="en-US"/>
        </w:rPr>
        <w:t>Ecological Economics</w:t>
      </w:r>
      <w:r w:rsidR="3813ED91" w:rsidRPr="4804476E">
        <w:rPr>
          <w:rFonts w:ascii="Calibri" w:eastAsia="Calibri" w:hAnsi="Calibri" w:cs="Calibri"/>
          <w:lang w:val="en-US"/>
        </w:rPr>
        <w:t xml:space="preserve"> 73 (2012): 47-55. </w:t>
      </w:r>
      <w:hyperlink r:id="rId23">
        <w:r w:rsidR="3813ED91" w:rsidRPr="4804476E">
          <w:rPr>
            <w:rStyle w:val="Hyperlink"/>
            <w:rFonts w:ascii="Calibri" w:eastAsia="Calibri" w:hAnsi="Calibri" w:cs="Calibri"/>
            <w:lang w:val="en-US"/>
          </w:rPr>
          <w:t>https://doi.org/10.1016/j.ecolecon.2011.10.024</w:t>
        </w:r>
      </w:hyperlink>
    </w:p>
    <w:p w14:paraId="576F6B00" w14:textId="54EC0F1A" w:rsidR="00170A48" w:rsidRPr="0043366F" w:rsidRDefault="004E6F15" w:rsidP="0043366F">
      <w:pPr>
        <w:textAlignment w:val="baseline"/>
        <w:rPr>
          <w:rFonts w:ascii="Calibri" w:eastAsia="Calibri" w:hAnsi="Calibri" w:cs="Calibri"/>
          <w:lang w:val="en-US"/>
        </w:rPr>
      </w:pPr>
      <w:r>
        <w:rPr>
          <w:rFonts w:ascii="Calibri" w:eastAsia="Calibri" w:hAnsi="Calibri" w:cs="Calibri"/>
          <w:lang w:val="en-US"/>
        </w:rPr>
        <w:t>20</w:t>
      </w:r>
      <w:bookmarkStart w:id="0" w:name="_GoBack"/>
      <w:bookmarkEnd w:id="0"/>
      <w:r w:rsidR="0E1C31CE" w:rsidRPr="4804476E">
        <w:rPr>
          <w:rFonts w:ascii="Calibri" w:eastAsia="Calibri" w:hAnsi="Calibri" w:cs="Calibri"/>
          <w:lang w:val="en-US"/>
        </w:rPr>
        <w:t xml:space="preserve">. Jones, J.P.G., Bull, J.W., Roe, D., Baker, J., Griffiths, V.F., Starkey, M., Sonter, L.J. and Milner-Gulland, E.J., 2019. Net gain: seeking better outcomes for local people when mitigating biodiversity loss from development. </w:t>
      </w:r>
      <w:r w:rsidR="0E1C31CE" w:rsidRPr="4804476E">
        <w:rPr>
          <w:rFonts w:ascii="Calibri" w:eastAsia="Calibri" w:hAnsi="Calibri" w:cs="Calibri"/>
          <w:i/>
          <w:iCs/>
          <w:lang w:val="en-US"/>
        </w:rPr>
        <w:t>One Earth</w:t>
      </w:r>
      <w:r w:rsidR="0E1C31CE" w:rsidRPr="4804476E">
        <w:rPr>
          <w:rFonts w:ascii="Calibri" w:eastAsia="Calibri" w:hAnsi="Calibri" w:cs="Calibri"/>
          <w:lang w:val="en-US"/>
        </w:rPr>
        <w:t xml:space="preserve">, </w:t>
      </w:r>
      <w:r w:rsidR="0E1C31CE" w:rsidRPr="4804476E">
        <w:rPr>
          <w:rFonts w:ascii="Calibri" w:eastAsia="Calibri" w:hAnsi="Calibri" w:cs="Calibri"/>
          <w:i/>
          <w:iCs/>
          <w:lang w:val="en-US"/>
        </w:rPr>
        <w:t>1</w:t>
      </w:r>
      <w:r w:rsidR="0E1C31CE" w:rsidRPr="4804476E">
        <w:rPr>
          <w:rFonts w:ascii="Calibri" w:eastAsia="Calibri" w:hAnsi="Calibri" w:cs="Calibri"/>
          <w:lang w:val="en-US"/>
        </w:rPr>
        <w:t xml:space="preserve">(2), pp.195-201. </w:t>
      </w:r>
      <w:hyperlink r:id="rId24">
        <w:r w:rsidR="0E1C31CE" w:rsidRPr="4804476E">
          <w:rPr>
            <w:rStyle w:val="Hyperlink"/>
            <w:rFonts w:ascii="Calibri" w:eastAsia="Calibri" w:hAnsi="Calibri" w:cs="Calibri"/>
            <w:lang w:val="en-US"/>
          </w:rPr>
          <w:t>https://doi.org/10.1016/j.oneear.2019.09.007</w:t>
        </w:r>
      </w:hyperlink>
    </w:p>
    <w:sectPr w:rsidR="00170A48" w:rsidRPr="0043366F">
      <w:pgSz w:w="11906" w:h="16838"/>
      <w:pgMar w:top="1417" w:right="1417" w:bottom="1134"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2BABCF" w16cex:dateUtc="2023-12-07T15:11:58.734Z"/>
  <w16cex:commentExtensible w16cex:durableId="7B4E183F" w16cex:dateUtc="2023-12-07T15:19:26.046Z"/>
  <w16cex:commentExtensible w16cex:durableId="0294849D" w16cex:dateUtc="2023-12-07T15:27:48.848Z"/>
  <w16cex:commentExtensible w16cex:durableId="09EA1C9D" w16cex:dateUtc="2023-12-07T15:36:07.285Z"/>
  <w16cex:commentExtensible w16cex:durableId="051CA565" w16cex:dateUtc="2023-12-07T15:38:52.86Z"/>
</w16cex:commentsExtensible>
</file>

<file path=word/commentsIds.xml><?xml version="1.0" encoding="utf-8"?>
<w16cid:commentsIds xmlns:mc="http://schemas.openxmlformats.org/markup-compatibility/2006" xmlns:w16cid="http://schemas.microsoft.com/office/word/2016/wordml/cid" mc:Ignorable="w16cid">
  <w16cid:commentId w16cid:paraId="372C978D" w16cid:durableId="402BABCF"/>
  <w16cid:commentId w16cid:paraId="4EB8F016" w16cid:durableId="7B4E183F"/>
  <w16cid:commentId w16cid:paraId="08D81AD8" w16cid:durableId="0294849D"/>
  <w16cid:commentId w16cid:paraId="16D883CD" w16cid:durableId="09EA1C9D"/>
  <w16cid:commentId w16cid:paraId="115ADFDA" w16cid:durableId="051CA5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5EF2"/>
    <w:multiLevelType w:val="multilevel"/>
    <w:tmpl w:val="7520B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174A2"/>
    <w:multiLevelType w:val="multilevel"/>
    <w:tmpl w:val="8160A3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51A17"/>
    <w:multiLevelType w:val="multilevel"/>
    <w:tmpl w:val="2CB81D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654D7"/>
    <w:multiLevelType w:val="multilevel"/>
    <w:tmpl w:val="1CAC35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FD2770"/>
    <w:multiLevelType w:val="multilevel"/>
    <w:tmpl w:val="63F4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D607D"/>
    <w:multiLevelType w:val="multilevel"/>
    <w:tmpl w:val="C8144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2B491E"/>
    <w:multiLevelType w:val="multilevel"/>
    <w:tmpl w:val="728AAA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D2D4E"/>
    <w:multiLevelType w:val="multilevel"/>
    <w:tmpl w:val="7BAE67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62F54"/>
    <w:multiLevelType w:val="multilevel"/>
    <w:tmpl w:val="A59837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17446F"/>
    <w:multiLevelType w:val="multilevel"/>
    <w:tmpl w:val="4E86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104C2"/>
    <w:multiLevelType w:val="multilevel"/>
    <w:tmpl w:val="6D0263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00FAF"/>
    <w:multiLevelType w:val="multilevel"/>
    <w:tmpl w:val="D00A8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90033"/>
    <w:multiLevelType w:val="multilevel"/>
    <w:tmpl w:val="9FF89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6"/>
  </w:num>
  <w:num w:numId="4">
    <w:abstractNumId w:val="9"/>
  </w:num>
  <w:num w:numId="5">
    <w:abstractNumId w:val="11"/>
  </w:num>
  <w:num w:numId="6">
    <w:abstractNumId w:val="5"/>
  </w:num>
  <w:num w:numId="7">
    <w:abstractNumId w:val="0"/>
  </w:num>
  <w:num w:numId="8">
    <w:abstractNumId w:val="2"/>
  </w:num>
  <w:num w:numId="9">
    <w:abstractNumId w:val="7"/>
  </w:num>
  <w:num w:numId="10">
    <w:abstractNumId w:val="1"/>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48"/>
    <w:rsid w:val="000535A1"/>
    <w:rsid w:val="001454CF"/>
    <w:rsid w:val="00170A48"/>
    <w:rsid w:val="00270FF2"/>
    <w:rsid w:val="002748FA"/>
    <w:rsid w:val="0043366F"/>
    <w:rsid w:val="004E6F15"/>
    <w:rsid w:val="00A03EA5"/>
    <w:rsid w:val="0100C7A4"/>
    <w:rsid w:val="01328A83"/>
    <w:rsid w:val="034E91B2"/>
    <w:rsid w:val="03947E45"/>
    <w:rsid w:val="0A71169E"/>
    <w:rsid w:val="0A9DD11C"/>
    <w:rsid w:val="0AB1D945"/>
    <w:rsid w:val="0AD6BA37"/>
    <w:rsid w:val="0E110D8B"/>
    <w:rsid w:val="0E1C31CE"/>
    <w:rsid w:val="0EE5DC0D"/>
    <w:rsid w:val="0FC5D469"/>
    <w:rsid w:val="100DD0D2"/>
    <w:rsid w:val="11793F1A"/>
    <w:rsid w:val="1257B473"/>
    <w:rsid w:val="12792810"/>
    <w:rsid w:val="14D2EA68"/>
    <w:rsid w:val="14DD3F6B"/>
    <w:rsid w:val="151491F0"/>
    <w:rsid w:val="17AC9417"/>
    <w:rsid w:val="1A4EC308"/>
    <w:rsid w:val="1AFAD71D"/>
    <w:rsid w:val="1DB3D53E"/>
    <w:rsid w:val="1F467041"/>
    <w:rsid w:val="20F75AE2"/>
    <w:rsid w:val="2166BF9D"/>
    <w:rsid w:val="228C760D"/>
    <w:rsid w:val="244D7135"/>
    <w:rsid w:val="251D7FD2"/>
    <w:rsid w:val="26F4434E"/>
    <w:rsid w:val="270AD062"/>
    <w:rsid w:val="2790398E"/>
    <w:rsid w:val="283D5793"/>
    <w:rsid w:val="28D42A2A"/>
    <w:rsid w:val="2BEDC802"/>
    <w:rsid w:val="2C3D3F4F"/>
    <w:rsid w:val="2CBBE356"/>
    <w:rsid w:val="2FC32BC7"/>
    <w:rsid w:val="30DB7757"/>
    <w:rsid w:val="3100C10B"/>
    <w:rsid w:val="3486F9C7"/>
    <w:rsid w:val="3591E146"/>
    <w:rsid w:val="35C113DC"/>
    <w:rsid w:val="37A5D3B1"/>
    <w:rsid w:val="3813ED91"/>
    <w:rsid w:val="3941A412"/>
    <w:rsid w:val="39FF4D0D"/>
    <w:rsid w:val="3AE389B8"/>
    <w:rsid w:val="3BDE329B"/>
    <w:rsid w:val="3E837CD6"/>
    <w:rsid w:val="3F1CD8A8"/>
    <w:rsid w:val="3FBD9103"/>
    <w:rsid w:val="3FCA43E6"/>
    <w:rsid w:val="415E1BED"/>
    <w:rsid w:val="4254796A"/>
    <w:rsid w:val="44D62053"/>
    <w:rsid w:val="464A5007"/>
    <w:rsid w:val="4804476E"/>
    <w:rsid w:val="48C3BAEE"/>
    <w:rsid w:val="49ADAA2B"/>
    <w:rsid w:val="4CA67461"/>
    <w:rsid w:val="4F94AE6A"/>
    <w:rsid w:val="50637635"/>
    <w:rsid w:val="50D6BA59"/>
    <w:rsid w:val="5178283E"/>
    <w:rsid w:val="52D19A92"/>
    <w:rsid w:val="542EBAC5"/>
    <w:rsid w:val="546D6AF3"/>
    <w:rsid w:val="55C49A0E"/>
    <w:rsid w:val="55D3433B"/>
    <w:rsid w:val="5849778F"/>
    <w:rsid w:val="5A61E48C"/>
    <w:rsid w:val="5C4B2BC2"/>
    <w:rsid w:val="5CF61532"/>
    <w:rsid w:val="5D6232C9"/>
    <w:rsid w:val="5D99854E"/>
    <w:rsid w:val="5F17CDE1"/>
    <w:rsid w:val="5F510DC2"/>
    <w:rsid w:val="5F71D9AE"/>
    <w:rsid w:val="61EE11B4"/>
    <w:rsid w:val="635CAB96"/>
    <w:rsid w:val="6436B5DB"/>
    <w:rsid w:val="643F7747"/>
    <w:rsid w:val="64D4EF42"/>
    <w:rsid w:val="673E3868"/>
    <w:rsid w:val="6A49DBE4"/>
    <w:rsid w:val="6EA5FBC1"/>
    <w:rsid w:val="701D6885"/>
    <w:rsid w:val="71DD9C83"/>
    <w:rsid w:val="7296191B"/>
    <w:rsid w:val="744A2465"/>
    <w:rsid w:val="75995E14"/>
    <w:rsid w:val="75BC9D37"/>
    <w:rsid w:val="75FF2C82"/>
    <w:rsid w:val="76D397FD"/>
    <w:rsid w:val="7899FACD"/>
    <w:rsid w:val="7936CD44"/>
    <w:rsid w:val="7ABB62EE"/>
    <w:rsid w:val="7ACCCA1B"/>
    <w:rsid w:val="7BD789F3"/>
    <w:rsid w:val="7BDE92AF"/>
    <w:rsid w:val="7F96BA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55F0"/>
  <w15:chartTrackingRefBased/>
  <w15:docId w15:val="{638B6522-0DAD-4F6E-B902-EF1144F8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70A48"/>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normaltextrun">
    <w:name w:val="normaltextrun"/>
    <w:basedOn w:val="DefaultParagraphFont"/>
    <w:rsid w:val="00170A48"/>
  </w:style>
  <w:style w:type="character" w:customStyle="1" w:styleId="eop">
    <w:name w:val="eop"/>
    <w:basedOn w:val="DefaultParagraphFont"/>
    <w:rsid w:val="00170A48"/>
  </w:style>
  <w:style w:type="character" w:customStyle="1" w:styleId="tabchar">
    <w:name w:val="tabchar"/>
    <w:basedOn w:val="DefaultParagraphFont"/>
    <w:rsid w:val="00170A48"/>
  </w:style>
  <w:style w:type="character" w:customStyle="1" w:styleId="scxw36162298">
    <w:name w:val="scxw36162298"/>
    <w:basedOn w:val="DefaultParagraphFont"/>
    <w:rsid w:val="00170A48"/>
  </w:style>
  <w:style w:type="character" w:customStyle="1" w:styleId="pagebreaktextspan">
    <w:name w:val="pagebreaktextspan"/>
    <w:basedOn w:val="DefaultParagraphFont"/>
    <w:rsid w:val="00170A48"/>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33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48221">
      <w:bodyDiv w:val="1"/>
      <w:marLeft w:val="0"/>
      <w:marRight w:val="0"/>
      <w:marTop w:val="0"/>
      <w:marBottom w:val="0"/>
      <w:divBdr>
        <w:top w:val="none" w:sz="0" w:space="0" w:color="auto"/>
        <w:left w:val="none" w:sz="0" w:space="0" w:color="auto"/>
        <w:bottom w:val="none" w:sz="0" w:space="0" w:color="auto"/>
        <w:right w:val="none" w:sz="0" w:space="0" w:color="auto"/>
      </w:divBdr>
      <w:divsChild>
        <w:div w:id="1430466384">
          <w:marLeft w:val="0"/>
          <w:marRight w:val="0"/>
          <w:marTop w:val="0"/>
          <w:marBottom w:val="0"/>
          <w:divBdr>
            <w:top w:val="none" w:sz="0" w:space="0" w:color="auto"/>
            <w:left w:val="none" w:sz="0" w:space="0" w:color="auto"/>
            <w:bottom w:val="none" w:sz="0" w:space="0" w:color="auto"/>
            <w:right w:val="none" w:sz="0" w:space="0" w:color="auto"/>
          </w:divBdr>
          <w:divsChild>
            <w:div w:id="1016152767">
              <w:marLeft w:val="0"/>
              <w:marRight w:val="0"/>
              <w:marTop w:val="0"/>
              <w:marBottom w:val="0"/>
              <w:divBdr>
                <w:top w:val="none" w:sz="0" w:space="0" w:color="auto"/>
                <w:left w:val="none" w:sz="0" w:space="0" w:color="auto"/>
                <w:bottom w:val="none" w:sz="0" w:space="0" w:color="auto"/>
                <w:right w:val="none" w:sz="0" w:space="0" w:color="auto"/>
              </w:divBdr>
              <w:divsChild>
                <w:div w:id="1427769376">
                  <w:marLeft w:val="0"/>
                  <w:marRight w:val="0"/>
                  <w:marTop w:val="0"/>
                  <w:marBottom w:val="0"/>
                  <w:divBdr>
                    <w:top w:val="none" w:sz="0" w:space="0" w:color="auto"/>
                    <w:left w:val="none" w:sz="0" w:space="0" w:color="auto"/>
                    <w:bottom w:val="none" w:sz="0" w:space="0" w:color="auto"/>
                    <w:right w:val="none" w:sz="0" w:space="0" w:color="auto"/>
                  </w:divBdr>
                </w:div>
                <w:div w:id="943464699">
                  <w:marLeft w:val="0"/>
                  <w:marRight w:val="0"/>
                  <w:marTop w:val="0"/>
                  <w:marBottom w:val="0"/>
                  <w:divBdr>
                    <w:top w:val="none" w:sz="0" w:space="0" w:color="auto"/>
                    <w:left w:val="none" w:sz="0" w:space="0" w:color="auto"/>
                    <w:bottom w:val="none" w:sz="0" w:space="0" w:color="auto"/>
                    <w:right w:val="none" w:sz="0" w:space="0" w:color="auto"/>
                  </w:divBdr>
                </w:div>
                <w:div w:id="116339561">
                  <w:marLeft w:val="0"/>
                  <w:marRight w:val="0"/>
                  <w:marTop w:val="0"/>
                  <w:marBottom w:val="0"/>
                  <w:divBdr>
                    <w:top w:val="none" w:sz="0" w:space="0" w:color="auto"/>
                    <w:left w:val="none" w:sz="0" w:space="0" w:color="auto"/>
                    <w:bottom w:val="none" w:sz="0" w:space="0" w:color="auto"/>
                    <w:right w:val="none" w:sz="0" w:space="0" w:color="auto"/>
                  </w:divBdr>
                </w:div>
                <w:div w:id="1727990591">
                  <w:marLeft w:val="0"/>
                  <w:marRight w:val="0"/>
                  <w:marTop w:val="0"/>
                  <w:marBottom w:val="0"/>
                  <w:divBdr>
                    <w:top w:val="none" w:sz="0" w:space="0" w:color="auto"/>
                    <w:left w:val="none" w:sz="0" w:space="0" w:color="auto"/>
                    <w:bottom w:val="none" w:sz="0" w:space="0" w:color="auto"/>
                    <w:right w:val="none" w:sz="0" w:space="0" w:color="auto"/>
                  </w:divBdr>
                </w:div>
                <w:div w:id="1345739877">
                  <w:marLeft w:val="0"/>
                  <w:marRight w:val="0"/>
                  <w:marTop w:val="0"/>
                  <w:marBottom w:val="0"/>
                  <w:divBdr>
                    <w:top w:val="none" w:sz="0" w:space="0" w:color="auto"/>
                    <w:left w:val="none" w:sz="0" w:space="0" w:color="auto"/>
                    <w:bottom w:val="none" w:sz="0" w:space="0" w:color="auto"/>
                    <w:right w:val="none" w:sz="0" w:space="0" w:color="auto"/>
                  </w:divBdr>
                </w:div>
              </w:divsChild>
            </w:div>
            <w:div w:id="1842968874">
              <w:marLeft w:val="0"/>
              <w:marRight w:val="0"/>
              <w:marTop w:val="0"/>
              <w:marBottom w:val="0"/>
              <w:divBdr>
                <w:top w:val="none" w:sz="0" w:space="0" w:color="auto"/>
                <w:left w:val="none" w:sz="0" w:space="0" w:color="auto"/>
                <w:bottom w:val="none" w:sz="0" w:space="0" w:color="auto"/>
                <w:right w:val="none" w:sz="0" w:space="0" w:color="auto"/>
              </w:divBdr>
              <w:divsChild>
                <w:div w:id="674379592">
                  <w:marLeft w:val="0"/>
                  <w:marRight w:val="0"/>
                  <w:marTop w:val="0"/>
                  <w:marBottom w:val="0"/>
                  <w:divBdr>
                    <w:top w:val="none" w:sz="0" w:space="0" w:color="auto"/>
                    <w:left w:val="none" w:sz="0" w:space="0" w:color="auto"/>
                    <w:bottom w:val="none" w:sz="0" w:space="0" w:color="auto"/>
                    <w:right w:val="none" w:sz="0" w:space="0" w:color="auto"/>
                  </w:divBdr>
                </w:div>
                <w:div w:id="140269272">
                  <w:marLeft w:val="0"/>
                  <w:marRight w:val="0"/>
                  <w:marTop w:val="0"/>
                  <w:marBottom w:val="0"/>
                  <w:divBdr>
                    <w:top w:val="none" w:sz="0" w:space="0" w:color="auto"/>
                    <w:left w:val="none" w:sz="0" w:space="0" w:color="auto"/>
                    <w:bottom w:val="none" w:sz="0" w:space="0" w:color="auto"/>
                    <w:right w:val="none" w:sz="0" w:space="0" w:color="auto"/>
                  </w:divBdr>
                </w:div>
                <w:div w:id="875778898">
                  <w:marLeft w:val="0"/>
                  <w:marRight w:val="0"/>
                  <w:marTop w:val="0"/>
                  <w:marBottom w:val="0"/>
                  <w:divBdr>
                    <w:top w:val="none" w:sz="0" w:space="0" w:color="auto"/>
                    <w:left w:val="none" w:sz="0" w:space="0" w:color="auto"/>
                    <w:bottom w:val="none" w:sz="0" w:space="0" w:color="auto"/>
                    <w:right w:val="none" w:sz="0" w:space="0" w:color="auto"/>
                  </w:divBdr>
                </w:div>
                <w:div w:id="318272183">
                  <w:marLeft w:val="0"/>
                  <w:marRight w:val="0"/>
                  <w:marTop w:val="0"/>
                  <w:marBottom w:val="0"/>
                  <w:divBdr>
                    <w:top w:val="none" w:sz="0" w:space="0" w:color="auto"/>
                    <w:left w:val="none" w:sz="0" w:space="0" w:color="auto"/>
                    <w:bottom w:val="none" w:sz="0" w:space="0" w:color="auto"/>
                    <w:right w:val="none" w:sz="0" w:space="0" w:color="auto"/>
                  </w:divBdr>
                </w:div>
                <w:div w:id="44333341">
                  <w:marLeft w:val="0"/>
                  <w:marRight w:val="0"/>
                  <w:marTop w:val="0"/>
                  <w:marBottom w:val="0"/>
                  <w:divBdr>
                    <w:top w:val="none" w:sz="0" w:space="0" w:color="auto"/>
                    <w:left w:val="none" w:sz="0" w:space="0" w:color="auto"/>
                    <w:bottom w:val="none" w:sz="0" w:space="0" w:color="auto"/>
                    <w:right w:val="none" w:sz="0" w:space="0" w:color="auto"/>
                  </w:divBdr>
                </w:div>
              </w:divsChild>
            </w:div>
            <w:div w:id="1432042888">
              <w:marLeft w:val="0"/>
              <w:marRight w:val="0"/>
              <w:marTop w:val="0"/>
              <w:marBottom w:val="0"/>
              <w:divBdr>
                <w:top w:val="none" w:sz="0" w:space="0" w:color="auto"/>
                <w:left w:val="none" w:sz="0" w:space="0" w:color="auto"/>
                <w:bottom w:val="none" w:sz="0" w:space="0" w:color="auto"/>
                <w:right w:val="none" w:sz="0" w:space="0" w:color="auto"/>
              </w:divBdr>
              <w:divsChild>
                <w:div w:id="1866669628">
                  <w:marLeft w:val="0"/>
                  <w:marRight w:val="0"/>
                  <w:marTop w:val="0"/>
                  <w:marBottom w:val="0"/>
                  <w:divBdr>
                    <w:top w:val="none" w:sz="0" w:space="0" w:color="auto"/>
                    <w:left w:val="none" w:sz="0" w:space="0" w:color="auto"/>
                    <w:bottom w:val="none" w:sz="0" w:space="0" w:color="auto"/>
                    <w:right w:val="none" w:sz="0" w:space="0" w:color="auto"/>
                  </w:divBdr>
                </w:div>
                <w:div w:id="1777754885">
                  <w:marLeft w:val="0"/>
                  <w:marRight w:val="0"/>
                  <w:marTop w:val="0"/>
                  <w:marBottom w:val="0"/>
                  <w:divBdr>
                    <w:top w:val="none" w:sz="0" w:space="0" w:color="auto"/>
                    <w:left w:val="none" w:sz="0" w:space="0" w:color="auto"/>
                    <w:bottom w:val="none" w:sz="0" w:space="0" w:color="auto"/>
                    <w:right w:val="none" w:sz="0" w:space="0" w:color="auto"/>
                  </w:divBdr>
                </w:div>
                <w:div w:id="1295985529">
                  <w:marLeft w:val="0"/>
                  <w:marRight w:val="0"/>
                  <w:marTop w:val="0"/>
                  <w:marBottom w:val="0"/>
                  <w:divBdr>
                    <w:top w:val="none" w:sz="0" w:space="0" w:color="auto"/>
                    <w:left w:val="none" w:sz="0" w:space="0" w:color="auto"/>
                    <w:bottom w:val="none" w:sz="0" w:space="0" w:color="auto"/>
                    <w:right w:val="none" w:sz="0" w:space="0" w:color="auto"/>
                  </w:divBdr>
                </w:div>
                <w:div w:id="1692486848">
                  <w:marLeft w:val="0"/>
                  <w:marRight w:val="0"/>
                  <w:marTop w:val="0"/>
                  <w:marBottom w:val="0"/>
                  <w:divBdr>
                    <w:top w:val="none" w:sz="0" w:space="0" w:color="auto"/>
                    <w:left w:val="none" w:sz="0" w:space="0" w:color="auto"/>
                    <w:bottom w:val="none" w:sz="0" w:space="0" w:color="auto"/>
                    <w:right w:val="none" w:sz="0" w:space="0" w:color="auto"/>
                  </w:divBdr>
                </w:div>
                <w:div w:id="1954021435">
                  <w:marLeft w:val="0"/>
                  <w:marRight w:val="0"/>
                  <w:marTop w:val="0"/>
                  <w:marBottom w:val="0"/>
                  <w:divBdr>
                    <w:top w:val="none" w:sz="0" w:space="0" w:color="auto"/>
                    <w:left w:val="none" w:sz="0" w:space="0" w:color="auto"/>
                    <w:bottom w:val="none" w:sz="0" w:space="0" w:color="auto"/>
                    <w:right w:val="none" w:sz="0" w:space="0" w:color="auto"/>
                  </w:divBdr>
                </w:div>
              </w:divsChild>
            </w:div>
            <w:div w:id="262034890">
              <w:marLeft w:val="0"/>
              <w:marRight w:val="0"/>
              <w:marTop w:val="0"/>
              <w:marBottom w:val="0"/>
              <w:divBdr>
                <w:top w:val="none" w:sz="0" w:space="0" w:color="auto"/>
                <w:left w:val="none" w:sz="0" w:space="0" w:color="auto"/>
                <w:bottom w:val="none" w:sz="0" w:space="0" w:color="auto"/>
                <w:right w:val="none" w:sz="0" w:space="0" w:color="auto"/>
              </w:divBdr>
              <w:divsChild>
                <w:div w:id="1108309883">
                  <w:marLeft w:val="0"/>
                  <w:marRight w:val="0"/>
                  <w:marTop w:val="0"/>
                  <w:marBottom w:val="0"/>
                  <w:divBdr>
                    <w:top w:val="none" w:sz="0" w:space="0" w:color="auto"/>
                    <w:left w:val="none" w:sz="0" w:space="0" w:color="auto"/>
                    <w:bottom w:val="none" w:sz="0" w:space="0" w:color="auto"/>
                    <w:right w:val="none" w:sz="0" w:space="0" w:color="auto"/>
                  </w:divBdr>
                </w:div>
                <w:div w:id="1110931321">
                  <w:marLeft w:val="0"/>
                  <w:marRight w:val="0"/>
                  <w:marTop w:val="0"/>
                  <w:marBottom w:val="0"/>
                  <w:divBdr>
                    <w:top w:val="none" w:sz="0" w:space="0" w:color="auto"/>
                    <w:left w:val="none" w:sz="0" w:space="0" w:color="auto"/>
                    <w:bottom w:val="none" w:sz="0" w:space="0" w:color="auto"/>
                    <w:right w:val="none" w:sz="0" w:space="0" w:color="auto"/>
                  </w:divBdr>
                </w:div>
                <w:div w:id="978459065">
                  <w:marLeft w:val="0"/>
                  <w:marRight w:val="0"/>
                  <w:marTop w:val="0"/>
                  <w:marBottom w:val="0"/>
                  <w:divBdr>
                    <w:top w:val="none" w:sz="0" w:space="0" w:color="auto"/>
                    <w:left w:val="none" w:sz="0" w:space="0" w:color="auto"/>
                    <w:bottom w:val="none" w:sz="0" w:space="0" w:color="auto"/>
                    <w:right w:val="none" w:sz="0" w:space="0" w:color="auto"/>
                  </w:divBdr>
                </w:div>
                <w:div w:id="80028453">
                  <w:marLeft w:val="0"/>
                  <w:marRight w:val="0"/>
                  <w:marTop w:val="0"/>
                  <w:marBottom w:val="0"/>
                  <w:divBdr>
                    <w:top w:val="none" w:sz="0" w:space="0" w:color="auto"/>
                    <w:left w:val="none" w:sz="0" w:space="0" w:color="auto"/>
                    <w:bottom w:val="none" w:sz="0" w:space="0" w:color="auto"/>
                    <w:right w:val="none" w:sz="0" w:space="0" w:color="auto"/>
                  </w:divBdr>
                </w:div>
                <w:div w:id="1390574618">
                  <w:marLeft w:val="0"/>
                  <w:marRight w:val="0"/>
                  <w:marTop w:val="0"/>
                  <w:marBottom w:val="0"/>
                  <w:divBdr>
                    <w:top w:val="none" w:sz="0" w:space="0" w:color="auto"/>
                    <w:left w:val="none" w:sz="0" w:space="0" w:color="auto"/>
                    <w:bottom w:val="none" w:sz="0" w:space="0" w:color="auto"/>
                    <w:right w:val="none" w:sz="0" w:space="0" w:color="auto"/>
                  </w:divBdr>
                </w:div>
              </w:divsChild>
            </w:div>
            <w:div w:id="420953848">
              <w:marLeft w:val="0"/>
              <w:marRight w:val="0"/>
              <w:marTop w:val="0"/>
              <w:marBottom w:val="0"/>
              <w:divBdr>
                <w:top w:val="none" w:sz="0" w:space="0" w:color="auto"/>
                <w:left w:val="none" w:sz="0" w:space="0" w:color="auto"/>
                <w:bottom w:val="none" w:sz="0" w:space="0" w:color="auto"/>
                <w:right w:val="none" w:sz="0" w:space="0" w:color="auto"/>
              </w:divBdr>
              <w:divsChild>
                <w:div w:id="964459912">
                  <w:marLeft w:val="0"/>
                  <w:marRight w:val="0"/>
                  <w:marTop w:val="0"/>
                  <w:marBottom w:val="0"/>
                  <w:divBdr>
                    <w:top w:val="none" w:sz="0" w:space="0" w:color="auto"/>
                    <w:left w:val="none" w:sz="0" w:space="0" w:color="auto"/>
                    <w:bottom w:val="none" w:sz="0" w:space="0" w:color="auto"/>
                    <w:right w:val="none" w:sz="0" w:space="0" w:color="auto"/>
                  </w:divBdr>
                </w:div>
                <w:div w:id="1997343430">
                  <w:marLeft w:val="0"/>
                  <w:marRight w:val="0"/>
                  <w:marTop w:val="0"/>
                  <w:marBottom w:val="0"/>
                  <w:divBdr>
                    <w:top w:val="none" w:sz="0" w:space="0" w:color="auto"/>
                    <w:left w:val="none" w:sz="0" w:space="0" w:color="auto"/>
                    <w:bottom w:val="none" w:sz="0" w:space="0" w:color="auto"/>
                    <w:right w:val="none" w:sz="0" w:space="0" w:color="auto"/>
                  </w:divBdr>
                </w:div>
                <w:div w:id="1366247261">
                  <w:marLeft w:val="0"/>
                  <w:marRight w:val="0"/>
                  <w:marTop w:val="0"/>
                  <w:marBottom w:val="0"/>
                  <w:divBdr>
                    <w:top w:val="none" w:sz="0" w:space="0" w:color="auto"/>
                    <w:left w:val="none" w:sz="0" w:space="0" w:color="auto"/>
                    <w:bottom w:val="none" w:sz="0" w:space="0" w:color="auto"/>
                    <w:right w:val="none" w:sz="0" w:space="0" w:color="auto"/>
                  </w:divBdr>
                </w:div>
                <w:div w:id="1188062867">
                  <w:marLeft w:val="0"/>
                  <w:marRight w:val="0"/>
                  <w:marTop w:val="0"/>
                  <w:marBottom w:val="0"/>
                  <w:divBdr>
                    <w:top w:val="none" w:sz="0" w:space="0" w:color="auto"/>
                    <w:left w:val="none" w:sz="0" w:space="0" w:color="auto"/>
                    <w:bottom w:val="none" w:sz="0" w:space="0" w:color="auto"/>
                    <w:right w:val="none" w:sz="0" w:space="0" w:color="auto"/>
                  </w:divBdr>
                </w:div>
                <w:div w:id="1001469643">
                  <w:marLeft w:val="0"/>
                  <w:marRight w:val="0"/>
                  <w:marTop w:val="0"/>
                  <w:marBottom w:val="0"/>
                  <w:divBdr>
                    <w:top w:val="none" w:sz="0" w:space="0" w:color="auto"/>
                    <w:left w:val="none" w:sz="0" w:space="0" w:color="auto"/>
                    <w:bottom w:val="none" w:sz="0" w:space="0" w:color="auto"/>
                    <w:right w:val="none" w:sz="0" w:space="0" w:color="auto"/>
                  </w:divBdr>
                </w:div>
              </w:divsChild>
            </w:div>
            <w:div w:id="1508907728">
              <w:marLeft w:val="0"/>
              <w:marRight w:val="0"/>
              <w:marTop w:val="0"/>
              <w:marBottom w:val="0"/>
              <w:divBdr>
                <w:top w:val="none" w:sz="0" w:space="0" w:color="auto"/>
                <w:left w:val="none" w:sz="0" w:space="0" w:color="auto"/>
                <w:bottom w:val="none" w:sz="0" w:space="0" w:color="auto"/>
                <w:right w:val="none" w:sz="0" w:space="0" w:color="auto"/>
              </w:divBdr>
            </w:div>
            <w:div w:id="916478454">
              <w:marLeft w:val="0"/>
              <w:marRight w:val="0"/>
              <w:marTop w:val="0"/>
              <w:marBottom w:val="0"/>
              <w:divBdr>
                <w:top w:val="none" w:sz="0" w:space="0" w:color="auto"/>
                <w:left w:val="none" w:sz="0" w:space="0" w:color="auto"/>
                <w:bottom w:val="none" w:sz="0" w:space="0" w:color="auto"/>
                <w:right w:val="none" w:sz="0" w:space="0" w:color="auto"/>
              </w:divBdr>
            </w:div>
            <w:div w:id="1395009174">
              <w:marLeft w:val="0"/>
              <w:marRight w:val="0"/>
              <w:marTop w:val="0"/>
              <w:marBottom w:val="0"/>
              <w:divBdr>
                <w:top w:val="none" w:sz="0" w:space="0" w:color="auto"/>
                <w:left w:val="none" w:sz="0" w:space="0" w:color="auto"/>
                <w:bottom w:val="none" w:sz="0" w:space="0" w:color="auto"/>
                <w:right w:val="none" w:sz="0" w:space="0" w:color="auto"/>
              </w:divBdr>
            </w:div>
            <w:div w:id="1538279163">
              <w:marLeft w:val="0"/>
              <w:marRight w:val="0"/>
              <w:marTop w:val="0"/>
              <w:marBottom w:val="0"/>
              <w:divBdr>
                <w:top w:val="none" w:sz="0" w:space="0" w:color="auto"/>
                <w:left w:val="none" w:sz="0" w:space="0" w:color="auto"/>
                <w:bottom w:val="none" w:sz="0" w:space="0" w:color="auto"/>
                <w:right w:val="none" w:sz="0" w:space="0" w:color="auto"/>
              </w:divBdr>
            </w:div>
            <w:div w:id="702825252">
              <w:marLeft w:val="0"/>
              <w:marRight w:val="0"/>
              <w:marTop w:val="0"/>
              <w:marBottom w:val="0"/>
              <w:divBdr>
                <w:top w:val="none" w:sz="0" w:space="0" w:color="auto"/>
                <w:left w:val="none" w:sz="0" w:space="0" w:color="auto"/>
                <w:bottom w:val="none" w:sz="0" w:space="0" w:color="auto"/>
                <w:right w:val="none" w:sz="0" w:space="0" w:color="auto"/>
              </w:divBdr>
            </w:div>
            <w:div w:id="1455098147">
              <w:marLeft w:val="0"/>
              <w:marRight w:val="0"/>
              <w:marTop w:val="0"/>
              <w:marBottom w:val="0"/>
              <w:divBdr>
                <w:top w:val="none" w:sz="0" w:space="0" w:color="auto"/>
                <w:left w:val="none" w:sz="0" w:space="0" w:color="auto"/>
                <w:bottom w:val="none" w:sz="0" w:space="0" w:color="auto"/>
                <w:right w:val="none" w:sz="0" w:space="0" w:color="auto"/>
              </w:divBdr>
            </w:div>
            <w:div w:id="205917098">
              <w:marLeft w:val="0"/>
              <w:marRight w:val="0"/>
              <w:marTop w:val="0"/>
              <w:marBottom w:val="0"/>
              <w:divBdr>
                <w:top w:val="none" w:sz="0" w:space="0" w:color="auto"/>
                <w:left w:val="none" w:sz="0" w:space="0" w:color="auto"/>
                <w:bottom w:val="none" w:sz="0" w:space="0" w:color="auto"/>
                <w:right w:val="none" w:sz="0" w:space="0" w:color="auto"/>
              </w:divBdr>
            </w:div>
            <w:div w:id="288324687">
              <w:marLeft w:val="0"/>
              <w:marRight w:val="0"/>
              <w:marTop w:val="0"/>
              <w:marBottom w:val="0"/>
              <w:divBdr>
                <w:top w:val="none" w:sz="0" w:space="0" w:color="auto"/>
                <w:left w:val="none" w:sz="0" w:space="0" w:color="auto"/>
                <w:bottom w:val="none" w:sz="0" w:space="0" w:color="auto"/>
                <w:right w:val="none" w:sz="0" w:space="0" w:color="auto"/>
              </w:divBdr>
            </w:div>
            <w:div w:id="527762777">
              <w:marLeft w:val="0"/>
              <w:marRight w:val="0"/>
              <w:marTop w:val="0"/>
              <w:marBottom w:val="0"/>
              <w:divBdr>
                <w:top w:val="none" w:sz="0" w:space="0" w:color="auto"/>
                <w:left w:val="none" w:sz="0" w:space="0" w:color="auto"/>
                <w:bottom w:val="none" w:sz="0" w:space="0" w:color="auto"/>
                <w:right w:val="none" w:sz="0" w:space="0" w:color="auto"/>
              </w:divBdr>
            </w:div>
            <w:div w:id="8654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3698358" TargetMode="External"/><Relationship Id="rId13" Type="http://schemas.openxmlformats.org/officeDocument/2006/relationships/hyperlink" Target="http://www.jstor.org/stable/resrep24304.11" TargetMode="External"/><Relationship Id="rId18" Type="http://schemas.openxmlformats.org/officeDocument/2006/relationships/hyperlink" Target="http://www.jstor.org/stable/2374531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jstor.org/stable/40339004" TargetMode="External"/><Relationship Id="Re839091c8e674054"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hyperlink" Target="https://www.jstor.org/stable/48671864" TargetMode="External"/><Relationship Id="rId17" Type="http://schemas.openxmlformats.org/officeDocument/2006/relationships/hyperlink" Target="http://www.jstor.org/stable/2626885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11/conl.12690" TargetMode="External"/><Relationship Id="rId20" Type="http://schemas.openxmlformats.org/officeDocument/2006/relationships/hyperlink" Target="http://www.jstor.org/stable/resrep1636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26268978" TargetMode="External"/><Relationship Id="rId24" Type="http://schemas.openxmlformats.org/officeDocument/2006/relationships/hyperlink" Target="https://doi.org/10.1016/j.oneear.2019.09.007" TargetMode="External"/><Relationship Id="rId5" Type="http://schemas.openxmlformats.org/officeDocument/2006/relationships/styles" Target="styles.xml"/><Relationship Id="rId15" Type="http://schemas.openxmlformats.org/officeDocument/2006/relationships/hyperlink" Target="https://doi.org/10.5751/ES-12625-260319" TargetMode="External"/><Relationship Id="rId23" Type="http://schemas.openxmlformats.org/officeDocument/2006/relationships/hyperlink" Target="https://doi.org/10.1016/j.ecolecon.2011.10.024" TargetMode="External"/><Relationship Id="rId10" Type="http://schemas.openxmlformats.org/officeDocument/2006/relationships/hyperlink" Target="http://www.jstor.org/stable/4314060" TargetMode="External"/><Relationship Id="rId19" Type="http://schemas.openxmlformats.org/officeDocument/2006/relationships/hyperlink" Target="http://www.jstor.org/stable/26476123" TargetMode="External"/><Relationship Id="R08f5bd40ffa6456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http://www.jstor.org/stable/24395608" TargetMode="External"/><Relationship Id="rId14" Type="http://schemas.openxmlformats.org/officeDocument/2006/relationships/hyperlink" Target="https://www.jstor.org/stable/48671872" TargetMode="External"/><Relationship Id="rId22" Type="http://schemas.openxmlformats.org/officeDocument/2006/relationships/hyperlink" Target="https://doi.org/10.1016/j.exis.2018.05.0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4CA34DB001B14E8D0939246D88A8CC" ma:contentTypeVersion="12" ma:contentTypeDescription="Create a new document." ma:contentTypeScope="" ma:versionID="84c26d5995c4778a53ece2691475fe0d">
  <xsd:schema xmlns:xsd="http://www.w3.org/2001/XMLSchema" xmlns:xs="http://www.w3.org/2001/XMLSchema" xmlns:p="http://schemas.microsoft.com/office/2006/metadata/properties" xmlns:ns2="2c5e5b04-2bcd-4b06-8420-5665d9b7fdb6" xmlns:ns3="026b8c5b-9f7b-415a-bd0b-10b18133c47c" targetNamespace="http://schemas.microsoft.com/office/2006/metadata/properties" ma:root="true" ma:fieldsID="76cf56e00cc4876069f3c27e9e797169" ns2:_="" ns3:_="">
    <xsd:import namespace="2c5e5b04-2bcd-4b06-8420-5665d9b7fdb6"/>
    <xsd:import namespace="026b8c5b-9f7b-415a-bd0b-10b18133c47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e5b04-2bcd-4b06-8420-5665d9b7fd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6b8c5b-9f7b-415a-bd0b-10b18133c47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26b8c5b-9f7b-415a-bd0b-10b18133c47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FF1C66-CAC3-4D05-8612-92277A038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e5b04-2bcd-4b06-8420-5665d9b7fdb6"/>
    <ds:schemaRef ds:uri="026b8c5b-9f7b-415a-bd0b-10b18133c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10BA09-8149-49A1-87B6-53BDD4228B34}">
  <ds:schemaRefs>
    <ds:schemaRef ds:uri="http://schemas.microsoft.com/office/2006/metadata/properties"/>
    <ds:schemaRef ds:uri="http://schemas.microsoft.com/office/infopath/2007/PartnerControls"/>
    <ds:schemaRef ds:uri="026b8c5b-9f7b-415a-bd0b-10b18133c47c"/>
  </ds:schemaRefs>
</ds:datastoreItem>
</file>

<file path=customXml/itemProps3.xml><?xml version="1.0" encoding="utf-8"?>
<ds:datastoreItem xmlns:ds="http://schemas.openxmlformats.org/officeDocument/2006/customXml" ds:itemID="{FDE5B0E1-06B5-4321-B221-87A44F317D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Rabeschini</dc:creator>
  <cp:keywords/>
  <dc:description/>
  <cp:lastModifiedBy>Gabriela Rabeschini</cp:lastModifiedBy>
  <cp:revision>5</cp:revision>
  <dcterms:created xsi:type="dcterms:W3CDTF">2023-09-26T19:15:00Z</dcterms:created>
  <dcterms:modified xsi:type="dcterms:W3CDTF">2023-12-18T10:48:00Z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0x0101000E4CA34DB001B14E8D0939246D88A8CC</vt:lpwstr>
  </property>
  <property fmtid="{D5CDD505-2E9C-101B-9397-08002B2CF9AE}" pid="3" name="MediaServiceImageTags">
    <vt:lpwstr/>
  </property>
</Properties>
</file>