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b w:val="1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https://www.unccd.int/convention/governance/strategic-framework-2018-2030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cop21add1_SF_EN.pdf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At its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rtl w:val="0"/>
          </w:rPr>
          <w:t xml:space="preserve">thirteenth session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in 2017, the Conference of the Parties (COP) adopted the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rtl w:val="0"/>
          </w:rPr>
          <w:t xml:space="preserve">UNCCD 2018−2030 Strategic Framework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and encouraged Parties to apply it in their national policies, programmes, plans and processes relating to desertification/land degradation and drought.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Strategic Framework has three main components: a vision, strategic objectives and an implementation framework.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vision is a broad statement of Parties’ commitment:  “</w:t>
      </w:r>
      <w:r w:rsidDel="00000000" w:rsidR="00000000" w:rsidRPr="00000000">
        <w:rPr>
          <w:rFonts w:ascii="Roboto" w:cs="Roboto" w:eastAsia="Roboto" w:hAnsi="Roboto"/>
          <w:i w:val="1"/>
          <w:sz w:val="27"/>
          <w:szCs w:val="27"/>
          <w:rtl w:val="0"/>
        </w:rPr>
        <w:t xml:space="preserve">A future that avoids, minimizes, and reverses desertification/land degradation and mitigates the effects of drought in affected areas at all levels and strive to achieve a land degradation neutral world consistent with the 2030 Agenda for Sustainable Development, within the scope of the Convention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”.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Framework contains five strategic objectives that are meant to guide the actions of all UNCCD stakeholders and partners in the period 2018-2030: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To improve the condition of affected ecosystems, combat desertification/land degradation, promote sustainable land management and contribute to land degradation neutrality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To improve the living conditions of affected populations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To mitigate, adapt to, and manage the effects of drought in order to enhance resilience of vulnerable populations and ecosystems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To generate global environmental benefits through effective implementation of the UNCCD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To mobilize substantial and additional financial and nonfinancial resources to support the implementation of the Convention by building effective partnerships at global and national level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Meeting these long-term objectives will contribute to achieving the vision within the scope of the Convention. UNCCD uses national reporting as a tool to monitor progress toward the strategic objectives. The reporting is based on indicators that have been defined over several years through collaboration between the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rtl w:val="0"/>
          </w:rPr>
          <w:t xml:space="preserve">Committee on Science and Technology</w:t>
        </w:r>
      </w:hyperlink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(CST) and the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rtl w:val="0"/>
          </w:rPr>
          <w:t xml:space="preserve">Committee for the Review of the Implementation of the Convention</w:t>
        </w:r>
      </w:hyperlink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(CRIC),  with strong support from the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rtl w:val="0"/>
          </w:rPr>
          <w:t xml:space="preserve">Science-Policy Interface</w:t>
        </w:r>
      </w:hyperlink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(SPI). The national reports are submitted to the UNCCD roughly every four years. The data collected through the reports is synthesized, compiled and analyzed by the secretariat for a review at the CRIC, resulting eventually in a COP decision on the next steps to enhance implementation.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third main component of the strategic framework, the implementation framework defines the roles and responsibilities of Parties, UNCCD institutions, partners and stakeholders in meeting the abovementioned strategic objectives.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unccd.int/science/overview" TargetMode="External"/><Relationship Id="rId10" Type="http://schemas.openxmlformats.org/officeDocument/2006/relationships/hyperlink" Target="https://www.unccd.int/convention/governance/cric" TargetMode="External"/><Relationship Id="rId9" Type="http://schemas.openxmlformats.org/officeDocument/2006/relationships/hyperlink" Target="https://www.unccd.int/convention/governance/cs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nccd.int/convention/governance/strategic-framework-2018-2030" TargetMode="External"/><Relationship Id="rId7" Type="http://schemas.openxmlformats.org/officeDocument/2006/relationships/hyperlink" Target="https://www.unccd.int/official-documents/cop-13-ordos-china-2017" TargetMode="External"/><Relationship Id="rId8" Type="http://schemas.openxmlformats.org/officeDocument/2006/relationships/hyperlink" Target="https://www.unccd.int/resources/other/unccd-2018-2030-strategic-framewor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