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FA77" w14:textId="7EF4B657" w:rsidR="00AA170C" w:rsidRPr="00D42814" w:rsidRDefault="00AA170C" w:rsidP="00AA170C">
      <w:pPr>
        <w:rPr>
          <w:b/>
          <w:bCs/>
          <w:sz w:val="32"/>
          <w:szCs w:val="32"/>
        </w:rPr>
      </w:pPr>
      <w:r w:rsidRPr="00D42814">
        <w:rPr>
          <w:b/>
          <w:bCs/>
          <w:sz w:val="32"/>
          <w:szCs w:val="32"/>
        </w:rPr>
        <w:t xml:space="preserve">IPBES TCA Chapter </w:t>
      </w:r>
      <w:r>
        <w:rPr>
          <w:b/>
          <w:bCs/>
          <w:sz w:val="32"/>
          <w:szCs w:val="32"/>
        </w:rPr>
        <w:t>3</w:t>
      </w:r>
      <w:r w:rsidRPr="00D42814">
        <w:rPr>
          <w:b/>
          <w:bCs/>
          <w:sz w:val="32"/>
          <w:szCs w:val="32"/>
        </w:rPr>
        <w:t xml:space="preserve">. </w:t>
      </w:r>
      <w:r>
        <w:rPr>
          <w:b/>
          <w:bCs/>
          <w:sz w:val="32"/>
          <w:szCs w:val="32"/>
        </w:rPr>
        <w:t>Systematic r</w:t>
      </w:r>
      <w:r w:rsidRPr="00D42814">
        <w:rPr>
          <w:b/>
          <w:bCs/>
          <w:sz w:val="32"/>
          <w:szCs w:val="32"/>
        </w:rPr>
        <w:t xml:space="preserve">eview of </w:t>
      </w:r>
      <w:r>
        <w:rPr>
          <w:b/>
          <w:bCs/>
          <w:sz w:val="32"/>
          <w:szCs w:val="32"/>
        </w:rPr>
        <w:t>literature</w:t>
      </w:r>
      <w:r w:rsidRPr="00D42814">
        <w:rPr>
          <w:b/>
          <w:bCs/>
          <w:sz w:val="32"/>
          <w:szCs w:val="32"/>
        </w:rPr>
        <w:t xml:space="preserve"> on </w:t>
      </w:r>
      <w:r w:rsidRPr="00AA170C">
        <w:rPr>
          <w:b/>
          <w:bCs/>
          <w:sz w:val="32"/>
          <w:szCs w:val="32"/>
        </w:rPr>
        <w:t xml:space="preserve">transformative change for sustainability </w:t>
      </w:r>
      <w:r w:rsidRPr="00D42814">
        <w:rPr>
          <w:b/>
          <w:bCs/>
          <w:sz w:val="32"/>
          <w:szCs w:val="32"/>
        </w:rPr>
        <w:t>/ IPBES transformative change assessment</w:t>
      </w:r>
    </w:p>
    <w:p w14:paraId="53AE9812" w14:textId="77777777" w:rsidR="00AA170C" w:rsidRDefault="00AA170C" w:rsidP="00AA170C">
      <w:pPr>
        <w:rPr>
          <w:b/>
          <w:bCs/>
        </w:rPr>
      </w:pPr>
    </w:p>
    <w:p w14:paraId="6C0CD981" w14:textId="482E7A68" w:rsidR="00AA170C" w:rsidRDefault="00AA170C" w:rsidP="00AA170C">
      <w:r w:rsidRPr="00D42814">
        <w:rPr>
          <w:b/>
          <w:bCs/>
        </w:rPr>
        <w:t>Code:</w:t>
      </w:r>
      <w:r>
        <w:t xml:space="preserve"> IPBES_TCA_3.</w:t>
      </w:r>
      <w:r w:rsidR="00DE5B61">
        <w:t>2</w:t>
      </w:r>
    </w:p>
    <w:p w14:paraId="44012A71" w14:textId="548FDCE1" w:rsidR="00AA170C" w:rsidRPr="001C0C19" w:rsidRDefault="00AA170C" w:rsidP="00AA170C">
      <w:pPr>
        <w:rPr>
          <w:b/>
          <w:bCs/>
        </w:rPr>
      </w:pPr>
      <w:r w:rsidRPr="001C0C19">
        <w:rPr>
          <w:b/>
          <w:bCs/>
        </w:rPr>
        <w:t>Versioning 01:</w:t>
      </w:r>
      <w:r w:rsidR="001C0C19" w:rsidRPr="001C0C19">
        <w:rPr>
          <w:b/>
          <w:bCs/>
        </w:rPr>
        <w:t xml:space="preserve"> </w:t>
      </w:r>
      <w:r w:rsidR="001C0C19" w:rsidRPr="001C0C19">
        <w:t>(04.12.2023)</w:t>
      </w:r>
    </w:p>
    <w:p w14:paraId="7BC5FF33" w14:textId="75773F9B" w:rsidR="00AA170C" w:rsidRDefault="00AA170C" w:rsidP="00AA170C">
      <w:pPr>
        <w:rPr>
          <w:b/>
          <w:bCs/>
        </w:rPr>
      </w:pPr>
      <w:r w:rsidRPr="00A52C95">
        <w:rPr>
          <w:b/>
          <w:bCs/>
        </w:rPr>
        <w:t>DOI:</w:t>
      </w:r>
      <w:r w:rsidRPr="00D42814">
        <w:rPr>
          <w:b/>
          <w:bCs/>
        </w:rPr>
        <w:t xml:space="preserve"> </w:t>
      </w:r>
      <w:r w:rsidR="00A52C95" w:rsidRPr="00A52C95">
        <w:t>10.5281/zenodo.10218647</w:t>
      </w:r>
    </w:p>
    <w:p w14:paraId="75DC32AC" w14:textId="77777777" w:rsidR="00AA170C" w:rsidRDefault="00AA170C" w:rsidP="00AA170C">
      <w:pPr>
        <w:rPr>
          <w:b/>
          <w:bCs/>
        </w:rPr>
      </w:pPr>
    </w:p>
    <w:p w14:paraId="1B90E719" w14:textId="77777777" w:rsidR="00AA170C" w:rsidRPr="00836205" w:rsidRDefault="00AA170C" w:rsidP="00AA170C">
      <w:pPr>
        <w:rPr>
          <w:b/>
          <w:bCs/>
          <w:sz w:val="28"/>
          <w:szCs w:val="28"/>
          <w:highlight w:val="yellow"/>
        </w:rPr>
      </w:pPr>
      <w:r w:rsidRPr="00317CF9">
        <w:rPr>
          <w:b/>
          <w:bCs/>
          <w:sz w:val="28"/>
          <w:szCs w:val="28"/>
        </w:rPr>
        <w:t>Project leaders</w:t>
      </w:r>
    </w:p>
    <w:p w14:paraId="20FE723D" w14:textId="4A8CDFB0" w:rsidR="00AA170C" w:rsidRPr="00347E16" w:rsidRDefault="00C92623" w:rsidP="00AA170C">
      <w:r>
        <w:t>Catherine Sabinot (</w:t>
      </w:r>
      <w:hyperlink r:id="rId11" w:history="1">
        <w:r w:rsidRPr="00072FC9">
          <w:rPr>
            <w:rStyle w:val="Hyperlink"/>
          </w:rPr>
          <w:t>catherine.sabinot@ird.fr</w:t>
        </w:r>
      </w:hyperlink>
      <w:r>
        <w:t xml:space="preserve">), </w:t>
      </w:r>
      <w:r w:rsidR="00C56C00">
        <w:t>Rainer Kruger (</w:t>
      </w:r>
      <w:hyperlink r:id="rId12" w:history="1">
        <w:r w:rsidR="000B3B11" w:rsidRPr="00072FC9">
          <w:rPr>
            <w:rStyle w:val="Hyperlink"/>
          </w:rPr>
          <w:t>Rainer.Krug@senckenberg.de</w:t>
        </w:r>
      </w:hyperlink>
      <w:r w:rsidR="000B3B11">
        <w:t>)</w:t>
      </w:r>
      <w:r w:rsidR="00317CF9">
        <w:t>.</w:t>
      </w:r>
    </w:p>
    <w:p w14:paraId="006512A1" w14:textId="77777777" w:rsidR="00DE5B61" w:rsidRDefault="00DE5B61" w:rsidP="00AA170C">
      <w:pPr>
        <w:rPr>
          <w:b/>
          <w:bCs/>
          <w:sz w:val="28"/>
          <w:szCs w:val="28"/>
        </w:rPr>
      </w:pPr>
    </w:p>
    <w:p w14:paraId="1EE67A6D" w14:textId="38D27E29" w:rsidR="00DE5B61" w:rsidRPr="00836205" w:rsidRDefault="00DE5B61" w:rsidP="00DE5B61">
      <w:pPr>
        <w:rPr>
          <w:b/>
          <w:bCs/>
          <w:sz w:val="28"/>
          <w:szCs w:val="28"/>
          <w:highlight w:val="yellow"/>
        </w:rPr>
      </w:pPr>
      <w:r w:rsidRPr="00317CF9">
        <w:rPr>
          <w:b/>
          <w:bCs/>
          <w:sz w:val="28"/>
          <w:szCs w:val="28"/>
        </w:rPr>
        <w:t>Researchers</w:t>
      </w:r>
    </w:p>
    <w:p w14:paraId="537A88FF" w14:textId="53C75128" w:rsidR="00DE5B61" w:rsidRPr="00DE5B61" w:rsidRDefault="009E13A2" w:rsidP="00AA170C">
      <w:r>
        <w:t>David Lam (</w:t>
      </w:r>
      <w:hyperlink r:id="rId13" w:history="1">
        <w:r w:rsidR="00C92623" w:rsidRPr="00072FC9">
          <w:rPr>
            <w:rStyle w:val="Hyperlink"/>
          </w:rPr>
          <w:t>david.lam@leuphana.de</w:t>
        </w:r>
      </w:hyperlink>
      <w:r w:rsidR="00C92623">
        <w:t xml:space="preserve">), </w:t>
      </w:r>
      <w:r>
        <w:t>Andressa Mansur (</w:t>
      </w:r>
      <w:hyperlink r:id="rId14" w:history="1">
        <w:r w:rsidR="00C92623" w:rsidRPr="00072FC9">
          <w:rPr>
            <w:rStyle w:val="Hyperlink"/>
          </w:rPr>
          <w:t>andressavmansur@gmail.com</w:t>
        </w:r>
      </w:hyperlink>
      <w:r>
        <w:t>)</w:t>
      </w:r>
      <w:r w:rsidR="00DB2F81">
        <w:t>, Maiko Nishi (</w:t>
      </w:r>
      <w:hyperlink r:id="rId15" w:history="1">
        <w:r w:rsidR="004234D7" w:rsidRPr="004F26B1">
          <w:rPr>
            <w:rStyle w:val="Hyperlink"/>
          </w:rPr>
          <w:t>nishi@unu.edu</w:t>
        </w:r>
      </w:hyperlink>
      <w:r w:rsidR="004234D7">
        <w:t xml:space="preserve">), </w:t>
      </w:r>
      <w:r w:rsidR="00317CF9">
        <w:t>Zühre Aksoy (</w:t>
      </w:r>
      <w:hyperlink r:id="rId16" w:history="1">
        <w:r w:rsidR="00317CF9" w:rsidRPr="004F26B1">
          <w:rPr>
            <w:rStyle w:val="Hyperlink"/>
          </w:rPr>
          <w:t>zuhre.aksoy@boun.edu.tr</w:t>
        </w:r>
      </w:hyperlink>
      <w:r w:rsidR="00317CF9">
        <w:t xml:space="preserve">). </w:t>
      </w:r>
    </w:p>
    <w:p w14:paraId="5A69C33F" w14:textId="77777777" w:rsidR="00DE5B61" w:rsidRDefault="00DE5B61" w:rsidP="00AA170C">
      <w:pPr>
        <w:rPr>
          <w:b/>
          <w:bCs/>
          <w:sz w:val="28"/>
          <w:szCs w:val="28"/>
        </w:rPr>
      </w:pPr>
    </w:p>
    <w:p w14:paraId="5C7164ED" w14:textId="560B08FF" w:rsidR="00AA170C" w:rsidRDefault="00AA170C" w:rsidP="00AA170C">
      <w:pPr>
        <w:rPr>
          <w:b/>
          <w:bCs/>
          <w:sz w:val="28"/>
          <w:szCs w:val="28"/>
        </w:rPr>
      </w:pPr>
      <w:r w:rsidRPr="00D42814">
        <w:rPr>
          <w:b/>
          <w:bCs/>
          <w:sz w:val="28"/>
          <w:szCs w:val="28"/>
        </w:rPr>
        <w:t>Data curator(s)</w:t>
      </w:r>
    </w:p>
    <w:p w14:paraId="0539BEFA" w14:textId="77777777" w:rsidR="00AA170C" w:rsidRPr="00AA170C" w:rsidRDefault="00AA170C" w:rsidP="00AA170C">
      <w:r w:rsidRPr="00AA170C">
        <w:t>Camille Guibal (</w:t>
      </w:r>
      <w:hyperlink r:id="rId17" w:history="1">
        <w:r w:rsidRPr="00AA170C">
          <w:rPr>
            <w:rStyle w:val="Hyperlink"/>
          </w:rPr>
          <w:t>camille.guibal@umontpellier.fr</w:t>
        </w:r>
      </w:hyperlink>
      <w:r w:rsidRPr="00AA170C">
        <w:t xml:space="preserve">) </w:t>
      </w:r>
    </w:p>
    <w:p w14:paraId="3729B4D4" w14:textId="77777777" w:rsidR="00DE5B61" w:rsidRDefault="00DE5B61" w:rsidP="00AA170C">
      <w:pPr>
        <w:rPr>
          <w:b/>
          <w:bCs/>
          <w:sz w:val="28"/>
          <w:szCs w:val="28"/>
        </w:rPr>
      </w:pPr>
    </w:p>
    <w:p w14:paraId="13603F5C" w14:textId="0C51BF6F" w:rsidR="00AA170C" w:rsidRDefault="00AA170C" w:rsidP="00AA170C">
      <w:pPr>
        <w:rPr>
          <w:b/>
          <w:bCs/>
          <w:sz w:val="28"/>
          <w:szCs w:val="28"/>
        </w:rPr>
      </w:pPr>
      <w:r w:rsidRPr="00D42814">
        <w:rPr>
          <w:b/>
          <w:bCs/>
          <w:sz w:val="28"/>
          <w:szCs w:val="28"/>
        </w:rPr>
        <w:t>Description</w:t>
      </w:r>
    </w:p>
    <w:p w14:paraId="6E6B6B49" w14:textId="3747D320" w:rsidR="00AA170C" w:rsidRDefault="00AA170C" w:rsidP="00AA170C">
      <w:r w:rsidRPr="003A7AD3">
        <w:t xml:space="preserve">The review corresponds to the IPBES transformative change assessment. The IPBES </w:t>
      </w:r>
      <w:r w:rsidR="00A729CD">
        <w:t>s</w:t>
      </w:r>
      <w:r w:rsidRPr="003A7AD3">
        <w:t xml:space="preserve">coping document for the transformative change assessment describes that chapter 3 should address how transformative change occurs, focusing on those changes that can be intentionally promoted, accelerated, and scaled to realize a sustainable world where biodiversity can thrive. The chapter provides evidence on theories and frameworks for understanding deliberate, or emergent transformative change. In this context, a review of knowledge focused on </w:t>
      </w:r>
      <w:r w:rsidR="003A7AD3" w:rsidRPr="003A7AD3">
        <w:t xml:space="preserve">building clusters of </w:t>
      </w:r>
      <w:r w:rsidRPr="003A7AD3">
        <w:t xml:space="preserve">theories and frameworks of transformative change </w:t>
      </w:r>
      <w:r w:rsidR="003A7AD3" w:rsidRPr="003A7AD3">
        <w:t xml:space="preserve">based on literature on transformative change for sustainability </w:t>
      </w:r>
      <w:r w:rsidRPr="003A7AD3">
        <w:t>was conducted and is further described below.</w:t>
      </w:r>
    </w:p>
    <w:p w14:paraId="4671DF28" w14:textId="77777777" w:rsidR="00AA170C" w:rsidRDefault="00AA170C" w:rsidP="00AA170C">
      <w:pPr>
        <w:rPr>
          <w:rFonts w:ascii="Tahoma" w:hAnsi="Tahoma" w:cs="Tahoma"/>
          <w:b/>
          <w:bCs/>
          <w:sz w:val="36"/>
          <w:szCs w:val="36"/>
        </w:rPr>
      </w:pPr>
    </w:p>
    <w:p w14:paraId="455FD757" w14:textId="6E4C0BEB" w:rsidR="00AA170C" w:rsidRDefault="00AA170C">
      <w:pPr>
        <w:spacing w:after="160" w:line="259" w:lineRule="auto"/>
        <w:rPr>
          <w:rFonts w:ascii="Tahoma" w:hAnsi="Tahoma" w:cs="Tahoma"/>
          <w:b/>
          <w:bCs/>
          <w:sz w:val="36"/>
          <w:szCs w:val="36"/>
        </w:rPr>
      </w:pPr>
      <w:r>
        <w:rPr>
          <w:rFonts w:ascii="Tahoma" w:hAnsi="Tahoma" w:cs="Tahoma"/>
          <w:b/>
          <w:bCs/>
          <w:sz w:val="36"/>
          <w:szCs w:val="36"/>
        </w:rPr>
        <w:br w:type="page"/>
      </w:r>
    </w:p>
    <w:p w14:paraId="16C415CE" w14:textId="6FCDD2AB" w:rsidR="00AA170C" w:rsidRPr="00D42814" w:rsidRDefault="00AA170C" w:rsidP="00AA170C">
      <w:pPr>
        <w:rPr>
          <w:b/>
          <w:bCs/>
          <w:sz w:val="28"/>
          <w:szCs w:val="28"/>
        </w:rPr>
      </w:pPr>
      <w:r w:rsidRPr="00D42814">
        <w:rPr>
          <w:b/>
          <w:bCs/>
          <w:sz w:val="28"/>
          <w:szCs w:val="28"/>
        </w:rPr>
        <w:lastRenderedPageBreak/>
        <w:t>Process overview</w:t>
      </w:r>
    </w:p>
    <w:p w14:paraId="76723765" w14:textId="4617CE13" w:rsidR="00AA170C" w:rsidRDefault="00346ADD">
      <w:pPr>
        <w:spacing w:after="160" w:line="259" w:lineRule="auto"/>
        <w:rPr>
          <w:rFonts w:ascii="Tahoma" w:hAnsi="Tahoma" w:cs="Tahoma"/>
          <w:b/>
          <w:bCs/>
          <w:sz w:val="36"/>
          <w:szCs w:val="36"/>
        </w:rPr>
      </w:pPr>
      <w:r>
        <w:rPr>
          <w:rFonts w:ascii="Tahoma" w:hAnsi="Tahoma" w:cs="Tahoma"/>
          <w:b/>
          <w:bCs/>
          <w:noProof/>
          <w:sz w:val="36"/>
          <w:szCs w:val="36"/>
        </w:rPr>
        <w:drawing>
          <wp:anchor distT="0" distB="0" distL="114300" distR="114300" simplePos="0" relativeHeight="251658240" behindDoc="1" locked="0" layoutInCell="1" allowOverlap="1" wp14:anchorId="67837C8C" wp14:editId="3A1AB46F">
            <wp:simplePos x="0" y="0"/>
            <wp:positionH relativeFrom="column">
              <wp:posOffset>332105</wp:posOffset>
            </wp:positionH>
            <wp:positionV relativeFrom="paragraph">
              <wp:posOffset>248285</wp:posOffset>
            </wp:positionV>
            <wp:extent cx="4812030" cy="6392545"/>
            <wp:effectExtent l="0" t="0" r="7620" b="8255"/>
            <wp:wrapTight wrapText="bothSides">
              <wp:wrapPolygon edited="0">
                <wp:start x="0" y="0"/>
                <wp:lineTo x="0" y="21564"/>
                <wp:lineTo x="21549" y="21564"/>
                <wp:lineTo x="21549" y="0"/>
                <wp:lineTo x="0" y="0"/>
              </wp:wrapPolygon>
            </wp:wrapTight>
            <wp:docPr id="1248308297"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08297" name="Picture 1" descr="A diagram of a research proces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12030" cy="6392545"/>
                    </a:xfrm>
                    <a:prstGeom prst="rect">
                      <a:avLst/>
                    </a:prstGeom>
                  </pic:spPr>
                </pic:pic>
              </a:graphicData>
            </a:graphic>
            <wp14:sizeRelH relativeFrom="page">
              <wp14:pctWidth>0</wp14:pctWidth>
            </wp14:sizeRelH>
            <wp14:sizeRelV relativeFrom="page">
              <wp14:pctHeight>0</wp14:pctHeight>
            </wp14:sizeRelV>
          </wp:anchor>
        </w:drawing>
      </w:r>
      <w:r w:rsidR="00AA170C">
        <w:rPr>
          <w:rFonts w:ascii="Tahoma" w:hAnsi="Tahoma" w:cs="Tahoma"/>
          <w:b/>
          <w:bCs/>
          <w:sz w:val="36"/>
          <w:szCs w:val="36"/>
        </w:rPr>
        <w:br w:type="page"/>
      </w:r>
    </w:p>
    <w:p w14:paraId="7D0F0DBE" w14:textId="77777777" w:rsidR="00AA170C" w:rsidRPr="00D42814" w:rsidRDefault="00AA170C" w:rsidP="00AA170C">
      <w:pPr>
        <w:rPr>
          <w:b/>
          <w:bCs/>
          <w:sz w:val="28"/>
          <w:szCs w:val="28"/>
        </w:rPr>
      </w:pPr>
      <w:r w:rsidRPr="00D42814">
        <w:rPr>
          <w:b/>
          <w:bCs/>
          <w:sz w:val="28"/>
          <w:szCs w:val="28"/>
        </w:rPr>
        <w:lastRenderedPageBreak/>
        <w:t>Protocol</w:t>
      </w:r>
    </w:p>
    <w:p w14:paraId="7C9FA3A7" w14:textId="77777777" w:rsidR="00AA170C" w:rsidRDefault="00AA170C" w:rsidP="00AA170C">
      <w:pPr>
        <w:rPr>
          <w:rFonts w:ascii="Tahoma" w:hAnsi="Tahoma" w:cs="Tahoma"/>
        </w:rPr>
      </w:pPr>
    </w:p>
    <w:p w14:paraId="6F788410" w14:textId="3A77398C" w:rsidR="00B74CBB" w:rsidRPr="00B74CBB" w:rsidRDefault="00B74CBB" w:rsidP="00AA170C">
      <w:pPr>
        <w:rPr>
          <w:rFonts w:asciiTheme="minorHAnsi" w:hAnsiTheme="minorHAnsi" w:cstheme="minorHAnsi"/>
          <w:b/>
          <w:bCs/>
        </w:rPr>
      </w:pPr>
      <w:r w:rsidRPr="00B74CBB">
        <w:rPr>
          <w:rFonts w:asciiTheme="minorHAnsi" w:hAnsiTheme="minorHAnsi" w:cstheme="minorHAnsi"/>
          <w:b/>
          <w:bCs/>
        </w:rPr>
        <w:t xml:space="preserve">Process 1: Identification of relevant articles based on expert </w:t>
      </w:r>
      <w:proofErr w:type="gramStart"/>
      <w:r w:rsidRPr="00B74CBB">
        <w:rPr>
          <w:rFonts w:asciiTheme="minorHAnsi" w:hAnsiTheme="minorHAnsi" w:cstheme="minorHAnsi"/>
          <w:b/>
          <w:bCs/>
        </w:rPr>
        <w:t>knowledge</w:t>
      </w:r>
      <w:proofErr w:type="gramEnd"/>
    </w:p>
    <w:p w14:paraId="309878D7" w14:textId="0C09CFE0" w:rsidR="00EA1573" w:rsidRDefault="00AA170C" w:rsidP="00AA170C">
      <w:pPr>
        <w:rPr>
          <w:rFonts w:asciiTheme="minorHAnsi" w:hAnsiTheme="minorHAnsi" w:cstheme="minorHAnsi"/>
        </w:rPr>
      </w:pPr>
      <w:r w:rsidRPr="00D02376">
        <w:rPr>
          <w:rFonts w:asciiTheme="minorHAnsi" w:hAnsiTheme="minorHAnsi" w:cstheme="minorHAnsi"/>
        </w:rPr>
        <w:t xml:space="preserve">With the help of the </w:t>
      </w:r>
      <w:r w:rsidR="00D02376">
        <w:rPr>
          <w:rFonts w:asciiTheme="minorHAnsi" w:hAnsiTheme="minorHAnsi" w:cstheme="minorHAnsi"/>
        </w:rPr>
        <w:t>IPBES data technical support unit,</w:t>
      </w:r>
      <w:r w:rsidRPr="00D02376">
        <w:rPr>
          <w:rFonts w:asciiTheme="minorHAnsi" w:hAnsiTheme="minorHAnsi" w:cstheme="minorHAnsi"/>
        </w:rPr>
        <w:t xml:space="preserve"> a thorough review based on recent review articles has been conducted. All experts in Chapter 3 were asked to name the most important and</w:t>
      </w:r>
      <w:r w:rsidR="00D02376">
        <w:rPr>
          <w:rFonts w:asciiTheme="minorHAnsi" w:hAnsiTheme="minorHAnsi" w:cstheme="minorHAnsi"/>
        </w:rPr>
        <w:t xml:space="preserve"> </w:t>
      </w:r>
      <w:r w:rsidRPr="00D02376">
        <w:rPr>
          <w:rFonts w:asciiTheme="minorHAnsi" w:hAnsiTheme="minorHAnsi" w:cstheme="minorHAnsi"/>
        </w:rPr>
        <w:t>comprehensive recent literature reviews on transformative change for sustainability. Six review articles were identified, comprising between 83 and 115 references</w:t>
      </w:r>
      <w:r w:rsidR="00EA1573">
        <w:rPr>
          <w:rFonts w:asciiTheme="minorHAnsi" w:hAnsiTheme="minorHAnsi" w:cstheme="minorHAnsi"/>
        </w:rPr>
        <w:t xml:space="preserve"> each:</w:t>
      </w:r>
      <w:r w:rsidRPr="00D02376">
        <w:rPr>
          <w:rFonts w:asciiTheme="minorHAnsi" w:hAnsiTheme="minorHAnsi" w:cstheme="minorHAnsi"/>
        </w:rPr>
        <w:br/>
      </w:r>
    </w:p>
    <w:p w14:paraId="0C8A8C5C" w14:textId="0563FFE1" w:rsidR="00EA1573" w:rsidRDefault="00AA170C" w:rsidP="00EA1573">
      <w:pPr>
        <w:pStyle w:val="ListParagraph"/>
        <w:numPr>
          <w:ilvl w:val="0"/>
          <w:numId w:val="3"/>
        </w:numPr>
        <w:rPr>
          <w:rFonts w:asciiTheme="minorHAnsi" w:hAnsiTheme="minorHAnsi" w:cstheme="minorHAnsi"/>
        </w:rPr>
      </w:pPr>
      <w:r w:rsidRPr="00EA1573">
        <w:rPr>
          <w:rFonts w:asciiTheme="minorHAnsi" w:hAnsiTheme="minorHAnsi" w:cstheme="minorHAnsi"/>
        </w:rPr>
        <w:t>T. Evans et al., 2023</w:t>
      </w:r>
    </w:p>
    <w:p w14:paraId="1A5C37CD" w14:textId="2D1BD6DB" w:rsidR="00EA1573" w:rsidRDefault="00AA170C" w:rsidP="00EA1573">
      <w:pPr>
        <w:pStyle w:val="ListParagraph"/>
        <w:numPr>
          <w:ilvl w:val="0"/>
          <w:numId w:val="3"/>
        </w:numPr>
        <w:rPr>
          <w:rFonts w:asciiTheme="minorHAnsi" w:hAnsiTheme="minorHAnsi" w:cstheme="minorHAnsi"/>
        </w:rPr>
      </w:pPr>
      <w:r w:rsidRPr="00EA1573">
        <w:rPr>
          <w:rFonts w:asciiTheme="minorHAnsi" w:hAnsiTheme="minorHAnsi" w:cstheme="minorHAnsi"/>
        </w:rPr>
        <w:t>Fisher et al., 2022</w:t>
      </w:r>
    </w:p>
    <w:p w14:paraId="0E2FF73B" w14:textId="5FC3CFB4" w:rsidR="00EA1573" w:rsidRDefault="00AA170C" w:rsidP="00EA1573">
      <w:pPr>
        <w:pStyle w:val="ListParagraph"/>
        <w:numPr>
          <w:ilvl w:val="0"/>
          <w:numId w:val="3"/>
        </w:numPr>
        <w:rPr>
          <w:rFonts w:asciiTheme="minorHAnsi" w:hAnsiTheme="minorHAnsi" w:cstheme="minorHAnsi"/>
        </w:rPr>
      </w:pPr>
      <w:proofErr w:type="spellStart"/>
      <w:r w:rsidRPr="00EA1573">
        <w:rPr>
          <w:rFonts w:asciiTheme="minorHAnsi" w:hAnsiTheme="minorHAnsi" w:cstheme="minorHAnsi"/>
        </w:rPr>
        <w:t>Loorbach</w:t>
      </w:r>
      <w:proofErr w:type="spellEnd"/>
      <w:r w:rsidRPr="00EA1573">
        <w:rPr>
          <w:rFonts w:asciiTheme="minorHAnsi" w:hAnsiTheme="minorHAnsi" w:cstheme="minorHAnsi"/>
        </w:rPr>
        <w:t xml:space="preserve"> et al., 2017</w:t>
      </w:r>
    </w:p>
    <w:p w14:paraId="14B90996" w14:textId="1846BF5E" w:rsidR="00EA1573" w:rsidRDefault="00AA170C" w:rsidP="00EA1573">
      <w:pPr>
        <w:pStyle w:val="ListParagraph"/>
        <w:numPr>
          <w:ilvl w:val="0"/>
          <w:numId w:val="3"/>
        </w:numPr>
        <w:rPr>
          <w:rFonts w:asciiTheme="minorHAnsi" w:hAnsiTheme="minorHAnsi" w:cstheme="minorHAnsi"/>
        </w:rPr>
      </w:pPr>
      <w:r w:rsidRPr="00EA1573">
        <w:rPr>
          <w:rFonts w:asciiTheme="minorHAnsi" w:hAnsiTheme="minorHAnsi" w:cstheme="minorHAnsi"/>
        </w:rPr>
        <w:t>Scoones et al., 2020</w:t>
      </w:r>
    </w:p>
    <w:p w14:paraId="7F5F8328" w14:textId="3D3E5A04" w:rsidR="00EA1573" w:rsidRDefault="00AA170C" w:rsidP="00EA1573">
      <w:pPr>
        <w:pStyle w:val="ListParagraph"/>
        <w:numPr>
          <w:ilvl w:val="0"/>
          <w:numId w:val="3"/>
        </w:numPr>
        <w:rPr>
          <w:rFonts w:asciiTheme="minorHAnsi" w:hAnsiTheme="minorHAnsi" w:cstheme="minorHAnsi"/>
        </w:rPr>
      </w:pPr>
      <w:r w:rsidRPr="00EA1573">
        <w:rPr>
          <w:rFonts w:asciiTheme="minorHAnsi" w:hAnsiTheme="minorHAnsi" w:cstheme="minorHAnsi"/>
        </w:rPr>
        <w:t>Feola et al. 2015</w:t>
      </w:r>
    </w:p>
    <w:p w14:paraId="68735C78" w14:textId="323A0281" w:rsidR="00EA1573" w:rsidRPr="00EA1573" w:rsidRDefault="00AA170C" w:rsidP="00EA1573">
      <w:pPr>
        <w:pStyle w:val="ListParagraph"/>
        <w:numPr>
          <w:ilvl w:val="0"/>
          <w:numId w:val="3"/>
        </w:numPr>
        <w:rPr>
          <w:rFonts w:asciiTheme="minorHAnsi" w:hAnsiTheme="minorHAnsi" w:cstheme="minorHAnsi"/>
        </w:rPr>
      </w:pPr>
      <w:r w:rsidRPr="00EA1573">
        <w:rPr>
          <w:rFonts w:asciiTheme="minorHAnsi" w:hAnsiTheme="minorHAnsi" w:cstheme="minorHAnsi"/>
        </w:rPr>
        <w:t>Patterson et al., 2017</w:t>
      </w:r>
    </w:p>
    <w:p w14:paraId="258A091B" w14:textId="77777777" w:rsidR="006C5859" w:rsidRDefault="006C5859" w:rsidP="00AA170C">
      <w:pPr>
        <w:pBdr>
          <w:bottom w:val="single" w:sz="6" w:space="1" w:color="auto"/>
        </w:pBdr>
        <w:rPr>
          <w:rFonts w:asciiTheme="minorHAnsi" w:hAnsiTheme="minorHAnsi" w:cstheme="minorHAnsi"/>
        </w:rPr>
      </w:pPr>
    </w:p>
    <w:p w14:paraId="7BCA7690" w14:textId="77777777" w:rsidR="00B74CBB" w:rsidRDefault="00B74CBB" w:rsidP="00AA170C">
      <w:pPr>
        <w:rPr>
          <w:rFonts w:asciiTheme="minorHAnsi" w:hAnsiTheme="minorHAnsi" w:cstheme="minorHAnsi"/>
        </w:rPr>
      </w:pPr>
    </w:p>
    <w:p w14:paraId="0F144436" w14:textId="650CCABE" w:rsidR="00B74CBB" w:rsidRPr="00B74CBB" w:rsidRDefault="00B74CBB" w:rsidP="00AA170C">
      <w:pPr>
        <w:rPr>
          <w:rFonts w:asciiTheme="minorHAnsi" w:hAnsiTheme="minorHAnsi" w:cstheme="minorHAnsi"/>
          <w:b/>
          <w:bCs/>
        </w:rPr>
      </w:pPr>
      <w:r w:rsidRPr="00B74CBB">
        <w:rPr>
          <w:rFonts w:asciiTheme="minorHAnsi" w:hAnsiTheme="minorHAnsi" w:cstheme="minorHAnsi"/>
          <w:b/>
          <w:bCs/>
        </w:rPr>
        <w:t xml:space="preserve">Process 2: Systematic review based on snowball </w:t>
      </w:r>
      <w:proofErr w:type="gramStart"/>
      <w:r w:rsidRPr="00B74CBB">
        <w:rPr>
          <w:rFonts w:asciiTheme="minorHAnsi" w:hAnsiTheme="minorHAnsi" w:cstheme="minorHAnsi"/>
          <w:b/>
          <w:bCs/>
        </w:rPr>
        <w:t>search</w:t>
      </w:r>
      <w:proofErr w:type="gramEnd"/>
    </w:p>
    <w:p w14:paraId="5C0ABB15" w14:textId="77777777" w:rsidR="007401EE" w:rsidRDefault="007401EE" w:rsidP="007401EE">
      <w:pPr>
        <w:rPr>
          <w:rFonts w:asciiTheme="minorHAnsi" w:hAnsiTheme="minorHAnsi" w:cstheme="minorHAnsi"/>
        </w:rPr>
      </w:pPr>
    </w:p>
    <w:p w14:paraId="284860BD" w14:textId="4C2820D8" w:rsidR="007401EE" w:rsidRPr="00D02376" w:rsidRDefault="007401EE" w:rsidP="007401EE">
      <w:pPr>
        <w:rPr>
          <w:rFonts w:asciiTheme="minorHAnsi" w:hAnsiTheme="minorHAnsi" w:cstheme="minorHAnsi"/>
        </w:rPr>
      </w:pPr>
      <w:r w:rsidRPr="00D02376">
        <w:rPr>
          <w:rFonts w:asciiTheme="minorHAnsi" w:hAnsiTheme="minorHAnsi" w:cstheme="minorHAnsi"/>
        </w:rPr>
        <w:t xml:space="preserve">This method allowed the strengthening the classification of </w:t>
      </w:r>
      <w:r w:rsidR="00B76715">
        <w:rPr>
          <w:rFonts w:asciiTheme="minorHAnsi" w:hAnsiTheme="minorHAnsi" w:cstheme="minorHAnsi"/>
        </w:rPr>
        <w:t>c</w:t>
      </w:r>
      <w:r w:rsidRPr="00D02376">
        <w:rPr>
          <w:rFonts w:asciiTheme="minorHAnsi" w:hAnsiTheme="minorHAnsi" w:cstheme="minorHAnsi"/>
        </w:rPr>
        <w:t xml:space="preserve">lusters of </w:t>
      </w:r>
      <w:r w:rsidR="00B76715">
        <w:rPr>
          <w:rFonts w:asciiTheme="minorHAnsi" w:hAnsiTheme="minorHAnsi" w:cstheme="minorHAnsi"/>
        </w:rPr>
        <w:t>t</w:t>
      </w:r>
      <w:r w:rsidRPr="00D02376">
        <w:rPr>
          <w:rFonts w:asciiTheme="minorHAnsi" w:hAnsiTheme="minorHAnsi" w:cstheme="minorHAnsi"/>
        </w:rPr>
        <w:t xml:space="preserve">heories and </w:t>
      </w:r>
      <w:r w:rsidR="00B76715">
        <w:rPr>
          <w:rFonts w:asciiTheme="minorHAnsi" w:hAnsiTheme="minorHAnsi" w:cstheme="minorHAnsi"/>
        </w:rPr>
        <w:t>f</w:t>
      </w:r>
      <w:r w:rsidRPr="00D02376">
        <w:rPr>
          <w:rFonts w:asciiTheme="minorHAnsi" w:hAnsiTheme="minorHAnsi" w:cstheme="minorHAnsi"/>
        </w:rPr>
        <w:t xml:space="preserve">rameworks of </w:t>
      </w:r>
      <w:r w:rsidR="00B76715">
        <w:rPr>
          <w:rFonts w:asciiTheme="minorHAnsi" w:hAnsiTheme="minorHAnsi" w:cstheme="minorHAnsi"/>
        </w:rPr>
        <w:t>t</w:t>
      </w:r>
      <w:r w:rsidRPr="00D02376">
        <w:rPr>
          <w:rFonts w:asciiTheme="minorHAnsi" w:hAnsiTheme="minorHAnsi" w:cstheme="minorHAnsi"/>
        </w:rPr>
        <w:t xml:space="preserve">ransformative change, and its results are included in sections 3.2 and </w:t>
      </w:r>
      <w:proofErr w:type="gramStart"/>
      <w:r w:rsidRPr="00D02376">
        <w:rPr>
          <w:rFonts w:asciiTheme="minorHAnsi" w:hAnsiTheme="minorHAnsi" w:cstheme="minorHAnsi"/>
        </w:rPr>
        <w:t>3.3</w:t>
      </w:r>
      <w:proofErr w:type="gramEnd"/>
    </w:p>
    <w:p w14:paraId="1DD9224C" w14:textId="77777777" w:rsidR="00B74CBB" w:rsidRDefault="00B74CBB" w:rsidP="00AA170C">
      <w:pPr>
        <w:rPr>
          <w:rFonts w:asciiTheme="minorHAnsi" w:hAnsiTheme="minorHAnsi" w:cstheme="minorHAnsi"/>
        </w:rPr>
      </w:pPr>
    </w:p>
    <w:p w14:paraId="538E973C" w14:textId="7C46B768" w:rsidR="00F45AAC" w:rsidRDefault="00F45AAC" w:rsidP="009532C3">
      <w:pPr>
        <w:pStyle w:val="paragraph"/>
        <w:numPr>
          <w:ilvl w:val="0"/>
          <w:numId w:val="4"/>
        </w:numPr>
        <w:tabs>
          <w:tab w:val="clear" w:pos="720"/>
          <w:tab w:val="num" w:pos="360"/>
        </w:tabs>
        <w:spacing w:before="0" w:beforeAutospacing="0" w:after="0" w:afterAutospacing="0"/>
        <w:ind w:firstLine="0"/>
        <w:textAlignment w:val="baseline"/>
        <w:rPr>
          <w:rFonts w:ascii="Calibri" w:hAnsi="Calibri" w:cs="Calibri"/>
          <w:sz w:val="22"/>
          <w:szCs w:val="22"/>
        </w:rPr>
      </w:pPr>
      <w:r>
        <w:rPr>
          <w:rStyle w:val="normaltextrun"/>
          <w:rFonts w:ascii="Calibri" w:hAnsi="Calibri" w:cs="Calibri"/>
          <w:b/>
          <w:bCs/>
          <w:sz w:val="22"/>
          <w:szCs w:val="22"/>
        </w:rPr>
        <w:t xml:space="preserve">Type of analysis/search/review: </w:t>
      </w:r>
      <w:r w:rsidR="009532C3" w:rsidRPr="009532C3">
        <w:rPr>
          <w:rStyle w:val="normaltextrun"/>
          <w:rFonts w:ascii="Calibri" w:hAnsi="Calibri" w:cs="Calibri"/>
          <w:sz w:val="22"/>
          <w:szCs w:val="22"/>
        </w:rPr>
        <w:t xml:space="preserve">systematic review based on the 357 different references cited in the 6 review articles by conducting a snowball </w:t>
      </w:r>
      <w:proofErr w:type="gramStart"/>
      <w:r w:rsidR="009532C3" w:rsidRPr="009532C3">
        <w:rPr>
          <w:rStyle w:val="normaltextrun"/>
          <w:rFonts w:ascii="Calibri" w:hAnsi="Calibri" w:cs="Calibri"/>
          <w:sz w:val="22"/>
          <w:szCs w:val="22"/>
        </w:rPr>
        <w:t>search</w:t>
      </w:r>
      <w:proofErr w:type="gramEnd"/>
    </w:p>
    <w:p w14:paraId="5046D337" w14:textId="77777777" w:rsidR="00F45AAC" w:rsidRDefault="00F45AAC" w:rsidP="009532C3">
      <w:pPr>
        <w:pStyle w:val="paragraph"/>
        <w:numPr>
          <w:ilvl w:val="0"/>
          <w:numId w:val="5"/>
        </w:numPr>
        <w:tabs>
          <w:tab w:val="clear" w:pos="720"/>
          <w:tab w:val="num" w:pos="360"/>
        </w:tabs>
        <w:spacing w:before="0" w:beforeAutospacing="0" w:after="0" w:afterAutospacing="0"/>
        <w:ind w:firstLine="0"/>
        <w:textAlignment w:val="baseline"/>
        <w:rPr>
          <w:rFonts w:ascii="Calibri" w:hAnsi="Calibri" w:cs="Calibri"/>
          <w:sz w:val="22"/>
          <w:szCs w:val="22"/>
        </w:rPr>
      </w:pPr>
      <w:r>
        <w:rPr>
          <w:rStyle w:val="normaltextrun"/>
          <w:rFonts w:ascii="Calibri" w:hAnsi="Calibri" w:cs="Calibri"/>
          <w:b/>
          <w:bCs/>
          <w:sz w:val="22"/>
          <w:szCs w:val="22"/>
        </w:rPr>
        <w:t xml:space="preserve">Search languages: </w:t>
      </w:r>
      <w:r>
        <w:rPr>
          <w:rStyle w:val="normaltextrun"/>
          <w:rFonts w:ascii="Calibri" w:hAnsi="Calibri" w:cs="Calibri"/>
          <w:sz w:val="22"/>
          <w:szCs w:val="22"/>
        </w:rPr>
        <w:t>English</w:t>
      </w:r>
      <w:r>
        <w:rPr>
          <w:rStyle w:val="eop"/>
          <w:rFonts w:ascii="Calibri" w:hAnsi="Calibri" w:cs="Calibri"/>
          <w:sz w:val="22"/>
          <w:szCs w:val="22"/>
        </w:rPr>
        <w:t> </w:t>
      </w:r>
    </w:p>
    <w:p w14:paraId="4821D0CD" w14:textId="0B2ECEF5" w:rsidR="00F45AAC" w:rsidRPr="001F213C" w:rsidRDefault="00F45AAC" w:rsidP="009532C3">
      <w:pPr>
        <w:pStyle w:val="paragraph"/>
        <w:numPr>
          <w:ilvl w:val="0"/>
          <w:numId w:val="5"/>
        </w:numPr>
        <w:tabs>
          <w:tab w:val="clear" w:pos="720"/>
          <w:tab w:val="num" w:pos="360"/>
        </w:tabs>
        <w:spacing w:before="0" w:beforeAutospacing="0" w:after="0" w:afterAutospacing="0"/>
        <w:ind w:firstLine="0"/>
        <w:textAlignment w:val="baseline"/>
        <w:rPr>
          <w:rFonts w:ascii="Calibri" w:hAnsi="Calibri" w:cs="Calibri"/>
          <w:sz w:val="22"/>
          <w:szCs w:val="22"/>
        </w:rPr>
      </w:pPr>
      <w:r w:rsidRPr="001F213C">
        <w:rPr>
          <w:rStyle w:val="normaltextrun"/>
          <w:rFonts w:ascii="Calibri" w:hAnsi="Calibri" w:cs="Calibri"/>
          <w:b/>
          <w:bCs/>
          <w:sz w:val="22"/>
          <w:szCs w:val="22"/>
        </w:rPr>
        <w:t xml:space="preserve">Search engine: </w:t>
      </w:r>
      <w:proofErr w:type="spellStart"/>
      <w:r w:rsidR="001F213C" w:rsidRPr="001F213C">
        <w:rPr>
          <w:rStyle w:val="normaltextrun"/>
          <w:rFonts w:ascii="Calibri" w:hAnsi="Calibri" w:cs="Calibri"/>
          <w:sz w:val="22"/>
          <w:szCs w:val="22"/>
        </w:rPr>
        <w:t>OpenAlex</w:t>
      </w:r>
      <w:proofErr w:type="spellEnd"/>
    </w:p>
    <w:p w14:paraId="3CE5AF84" w14:textId="17285BB3" w:rsidR="00F45AAC" w:rsidRDefault="00F45AAC" w:rsidP="009532C3">
      <w:pPr>
        <w:pStyle w:val="paragraph"/>
        <w:numPr>
          <w:ilvl w:val="0"/>
          <w:numId w:val="5"/>
        </w:numPr>
        <w:tabs>
          <w:tab w:val="clear" w:pos="720"/>
          <w:tab w:val="num" w:pos="360"/>
        </w:tabs>
        <w:spacing w:before="0" w:beforeAutospacing="0" w:after="0" w:afterAutospacing="0"/>
        <w:ind w:firstLine="0"/>
        <w:textAlignment w:val="baseline"/>
        <w:rPr>
          <w:rFonts w:ascii="Calibri" w:hAnsi="Calibri" w:cs="Calibri"/>
          <w:sz w:val="22"/>
          <w:szCs w:val="22"/>
        </w:rPr>
      </w:pPr>
      <w:r>
        <w:rPr>
          <w:rStyle w:val="normaltextrun"/>
          <w:rFonts w:ascii="Calibri" w:hAnsi="Calibri" w:cs="Calibri"/>
          <w:b/>
          <w:bCs/>
          <w:sz w:val="22"/>
          <w:szCs w:val="22"/>
        </w:rPr>
        <w:t xml:space="preserve">Sample extracted: </w:t>
      </w:r>
      <w:r w:rsidR="006A4A42" w:rsidRPr="00A93996">
        <w:rPr>
          <w:rFonts w:asciiTheme="minorHAnsi" w:hAnsiTheme="minorHAnsi" w:cstheme="minorHAnsi"/>
          <w:sz w:val="22"/>
          <w:szCs w:val="22"/>
        </w:rPr>
        <w:t>1695 publications</w:t>
      </w:r>
      <w:r w:rsidR="00224E75">
        <w:rPr>
          <w:rStyle w:val="FootnoteReference"/>
          <w:rFonts w:asciiTheme="minorHAnsi" w:hAnsiTheme="minorHAnsi" w:cstheme="minorHAnsi"/>
          <w:sz w:val="22"/>
          <w:szCs w:val="22"/>
        </w:rPr>
        <w:footnoteReference w:id="1"/>
      </w:r>
    </w:p>
    <w:p w14:paraId="2DCC9153" w14:textId="5176D369" w:rsidR="00AA170C" w:rsidRPr="00A93996" w:rsidRDefault="00F45AAC" w:rsidP="00AA170C">
      <w:pPr>
        <w:pStyle w:val="paragraph"/>
        <w:numPr>
          <w:ilvl w:val="0"/>
          <w:numId w:val="5"/>
        </w:numPr>
        <w:tabs>
          <w:tab w:val="clear" w:pos="720"/>
          <w:tab w:val="num" w:pos="360"/>
        </w:tabs>
        <w:spacing w:before="0" w:beforeAutospacing="0" w:after="0" w:afterAutospacing="0"/>
        <w:ind w:firstLine="0"/>
        <w:textAlignment w:val="baseline"/>
        <w:rPr>
          <w:rFonts w:ascii="Calibri" w:hAnsi="Calibri" w:cs="Calibri"/>
          <w:sz w:val="20"/>
          <w:szCs w:val="20"/>
        </w:rPr>
      </w:pPr>
      <w:r>
        <w:rPr>
          <w:rStyle w:val="normaltextrun"/>
          <w:rFonts w:ascii="Calibri" w:hAnsi="Calibri" w:cs="Calibri"/>
          <w:b/>
          <w:bCs/>
          <w:sz w:val="22"/>
          <w:szCs w:val="22"/>
        </w:rPr>
        <w:t xml:space="preserve">Treatment applied: </w:t>
      </w:r>
      <w:r w:rsidR="00AA170C" w:rsidRPr="00A93996">
        <w:rPr>
          <w:rFonts w:asciiTheme="minorHAnsi" w:hAnsiTheme="minorHAnsi" w:cstheme="minorHAnsi"/>
          <w:sz w:val="22"/>
          <w:szCs w:val="22"/>
        </w:rPr>
        <w:t>First, citations were identified by doing a snowball search going one generation backwards and forward for each of them (Fig. 1). In addition, two measures were calculated:</w:t>
      </w:r>
      <w:r w:rsidR="00AA170C" w:rsidRPr="00A93996">
        <w:rPr>
          <w:rFonts w:asciiTheme="minorHAnsi" w:hAnsiTheme="minorHAnsi" w:cstheme="minorHAnsi"/>
          <w:sz w:val="22"/>
          <w:szCs w:val="22"/>
        </w:rPr>
        <w:br/>
        <w:t>1)      the “local frequency” e.g. the number of times that the reference is used within the text of the article was calculated for each of the six selected articles;</w:t>
      </w:r>
      <w:r w:rsidR="00AA170C" w:rsidRPr="00A93996">
        <w:rPr>
          <w:rFonts w:asciiTheme="minorHAnsi" w:hAnsiTheme="minorHAnsi" w:cstheme="minorHAnsi"/>
          <w:sz w:val="22"/>
          <w:szCs w:val="22"/>
        </w:rPr>
        <w:br/>
        <w:t>2)      a citation index called “average yearly citation (AYC)” which equals the number of citations overall of each article divided by the number of years the article has been published</w:t>
      </w:r>
      <w:r w:rsidR="00AA170C" w:rsidRPr="00A93996">
        <w:rPr>
          <w:rFonts w:asciiTheme="minorHAnsi" w:hAnsiTheme="minorHAnsi" w:cstheme="minorHAnsi"/>
          <w:sz w:val="22"/>
          <w:szCs w:val="22"/>
        </w:rPr>
        <w:br/>
        <w:t xml:space="preserve">This resulted in a new spreadsheet including a list of 1695 publications citing these references, together with publication years, journal titles, locations of the authors, and abstracts, which enabled to evaluate the quality of the impact of each paper, the importance of the paper for </w:t>
      </w:r>
      <w:r w:rsidR="00B74CBB">
        <w:rPr>
          <w:rFonts w:asciiTheme="minorHAnsi" w:hAnsiTheme="minorHAnsi" w:cstheme="minorHAnsi"/>
          <w:sz w:val="22"/>
          <w:szCs w:val="22"/>
        </w:rPr>
        <w:t>the</w:t>
      </w:r>
      <w:r w:rsidR="00AA170C" w:rsidRPr="00A93996">
        <w:rPr>
          <w:rFonts w:asciiTheme="minorHAnsi" w:hAnsiTheme="minorHAnsi" w:cstheme="minorHAnsi"/>
          <w:sz w:val="22"/>
          <w:szCs w:val="22"/>
        </w:rPr>
        <w:t xml:space="preserve"> assessment, the </w:t>
      </w:r>
      <w:r w:rsidR="00B74CBB">
        <w:rPr>
          <w:rFonts w:asciiTheme="minorHAnsi" w:hAnsiTheme="minorHAnsi" w:cstheme="minorHAnsi"/>
          <w:sz w:val="22"/>
          <w:szCs w:val="22"/>
        </w:rPr>
        <w:t>k</w:t>
      </w:r>
      <w:r w:rsidR="00B74CBB" w:rsidRPr="00A93996">
        <w:rPr>
          <w:rFonts w:asciiTheme="minorHAnsi" w:hAnsiTheme="minorHAnsi" w:cstheme="minorHAnsi"/>
          <w:sz w:val="22"/>
          <w:szCs w:val="22"/>
        </w:rPr>
        <w:t xml:space="preserve">nowledge </w:t>
      </w:r>
      <w:r w:rsidR="00AA170C" w:rsidRPr="00A93996">
        <w:rPr>
          <w:rFonts w:asciiTheme="minorHAnsi" w:hAnsiTheme="minorHAnsi" w:cstheme="minorHAnsi"/>
          <w:sz w:val="22"/>
          <w:szCs w:val="22"/>
        </w:rPr>
        <w:t>gaps and the main drivers of these gaps when</w:t>
      </w:r>
      <w:r w:rsidR="00B74CBB">
        <w:rPr>
          <w:rFonts w:asciiTheme="minorHAnsi" w:hAnsiTheme="minorHAnsi" w:cstheme="minorHAnsi"/>
          <w:sz w:val="22"/>
          <w:szCs w:val="22"/>
        </w:rPr>
        <w:t>/</w:t>
      </w:r>
      <w:r w:rsidR="00AA170C" w:rsidRPr="00A93996">
        <w:rPr>
          <w:rFonts w:asciiTheme="minorHAnsi" w:hAnsiTheme="minorHAnsi" w:cstheme="minorHAnsi"/>
          <w:sz w:val="22"/>
          <w:szCs w:val="22"/>
        </w:rPr>
        <w:t>if relevant. In addition, papers which are linked to at least two of the 6 review articles (excluding the non-published ones) have been identified and considered as important papers.</w:t>
      </w:r>
    </w:p>
    <w:p w14:paraId="23D22774" w14:textId="77777777" w:rsidR="007414A0" w:rsidRDefault="007414A0" w:rsidP="00F7137E">
      <w:bookmarkStart w:id="0" w:name="_heading=h.okqjo8igykr0" w:colFirst="0" w:colLast="0"/>
      <w:bookmarkEnd w:id="0"/>
    </w:p>
    <w:bookmarkStart w:id="1" w:name="_heading=h.npsk9nauujsu" w:colFirst="0" w:colLast="0"/>
    <w:bookmarkEnd w:id="1"/>
    <w:p w14:paraId="61766A0D" w14:textId="7EE78C6D" w:rsidR="005B1258" w:rsidRDefault="00A603FA" w:rsidP="00D765A4">
      <w:sdt>
        <w:sdtPr>
          <w:tag w:val="goog_rdk_278"/>
          <w:id w:val="211320027"/>
        </w:sdtPr>
        <w:sdtEndPr/>
        <w:sdtContent/>
      </w:sdt>
      <w:r w:rsidR="005B1258" w:rsidRPr="00D02376">
        <w:rPr>
          <w:noProof/>
        </w:rPr>
        <w:drawing>
          <wp:inline distT="114300" distB="114300" distL="114300" distR="114300" wp14:anchorId="2D38F721" wp14:editId="7D6D6EC6">
            <wp:extent cx="5757150" cy="4318000"/>
            <wp:effectExtent l="0" t="0" r="0" b="0"/>
            <wp:docPr id="893850721" name="Picture 893850721" descr="A network of line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893850721" name="Picture 893850721" descr="A network of lines and dots&#10;&#10;Description automatically generated"/>
                    <pic:cNvPicPr preferRelativeResize="0"/>
                  </pic:nvPicPr>
                  <pic:blipFill>
                    <a:blip r:embed="rId19"/>
                    <a:srcRect/>
                    <a:stretch>
                      <a:fillRect/>
                    </a:stretch>
                  </pic:blipFill>
                  <pic:spPr>
                    <a:xfrm>
                      <a:off x="0" y="0"/>
                      <a:ext cx="5757150" cy="4318000"/>
                    </a:xfrm>
                    <a:prstGeom prst="rect">
                      <a:avLst/>
                    </a:prstGeom>
                    <a:ln/>
                  </pic:spPr>
                </pic:pic>
              </a:graphicData>
            </a:graphic>
          </wp:inline>
        </w:drawing>
      </w:r>
      <w:r w:rsidR="005B1258" w:rsidRPr="00D765A4">
        <w:rPr>
          <w:b/>
          <w:bCs/>
        </w:rPr>
        <w:t>Figure 1</w:t>
      </w:r>
      <w:r w:rsidR="007414A0" w:rsidRPr="00D765A4">
        <w:rPr>
          <w:b/>
          <w:bCs/>
        </w:rPr>
        <w:t>.</w:t>
      </w:r>
      <w:r w:rsidR="005B1258" w:rsidRPr="00D02376">
        <w:t xml:space="preserve"> </w:t>
      </w:r>
      <w:r w:rsidR="005B1258" w:rsidRPr="007414A0">
        <w:t>Figure showing snowball search (forward - backward search) conducted on the six published papers used in our third phase review approach.</w:t>
      </w:r>
      <w:r w:rsidR="005B1258" w:rsidRPr="00D02376">
        <w:t xml:space="preserve"> The red dots are the key-papers identified, the other papers cited or citing these. The lines start from grey to black, </w:t>
      </w:r>
      <w:proofErr w:type="gramStart"/>
      <w:r w:rsidR="005B1258" w:rsidRPr="00D02376">
        <w:t>e.g.</w:t>
      </w:r>
      <w:proofErr w:type="gramEnd"/>
      <w:r w:rsidR="005B1258" w:rsidRPr="00D02376">
        <w:t xml:space="preserve"> the “grey side” is citing the “black” side. The size of the circles indicates the number of times that the paper has been cited. Note that the edges are only one step forward and backward - so cross citations of the outer points are not included.</w:t>
      </w:r>
    </w:p>
    <w:p w14:paraId="71605638" w14:textId="11A6B551" w:rsidR="007414A0" w:rsidRDefault="007414A0" w:rsidP="00D765A4">
      <w:r>
        <w:t>This figure</w:t>
      </w:r>
      <w:r w:rsidRPr="00D02376">
        <w:t xml:space="preserve"> shows the citation network of the 1665 papers resulting from the snowball search. The network only contains the citations from and to the key papers and does not include all citations between the other papers in the interest of readability of the figure, although they are available for the analysis. </w:t>
      </w:r>
    </w:p>
    <w:p w14:paraId="2823682D" w14:textId="77777777" w:rsidR="007414A0" w:rsidRPr="007414A0" w:rsidRDefault="007414A0" w:rsidP="007414A0"/>
    <w:p w14:paraId="16CF63EB" w14:textId="20593E8F" w:rsidR="005B1258" w:rsidRDefault="005B1258" w:rsidP="00D765A4">
      <w:bookmarkStart w:id="2" w:name="_heading=h.75thei7hw2ah" w:colFirst="0" w:colLast="0"/>
      <w:bookmarkEnd w:id="2"/>
      <w:r w:rsidRPr="00D02376">
        <w:rPr>
          <w:rFonts w:eastAsia="Arial"/>
        </w:rPr>
        <w:lastRenderedPageBreak/>
        <w:t xml:space="preserve"> </w:t>
      </w:r>
      <w:r w:rsidRPr="00D02376">
        <w:rPr>
          <w:rFonts w:eastAsia="Arial"/>
          <w:noProof/>
        </w:rPr>
        <w:drawing>
          <wp:inline distT="114300" distB="114300" distL="114300" distR="114300" wp14:anchorId="6A3F8E33" wp14:editId="233F2680">
            <wp:extent cx="5667375" cy="2802163"/>
            <wp:effectExtent l="0" t="0" r="0" b="0"/>
            <wp:docPr id="893850722" name="Picture 893850722" descr="A blue and grey map of the world&#10;&#10;Description automatically generated"/>
            <wp:cNvGraphicFramePr/>
            <a:graphic xmlns:a="http://schemas.openxmlformats.org/drawingml/2006/main">
              <a:graphicData uri="http://schemas.openxmlformats.org/drawingml/2006/picture">
                <pic:pic xmlns:pic="http://schemas.openxmlformats.org/drawingml/2006/picture">
                  <pic:nvPicPr>
                    <pic:cNvPr id="893850722" name="Picture 893850722" descr="A blue and grey map of the world&#10;&#10;Description automatically generated"/>
                    <pic:cNvPicPr preferRelativeResize="0"/>
                  </pic:nvPicPr>
                  <pic:blipFill>
                    <a:blip r:embed="rId20"/>
                    <a:srcRect t="51049" r="1162"/>
                    <a:stretch>
                      <a:fillRect/>
                    </a:stretch>
                  </pic:blipFill>
                  <pic:spPr>
                    <a:xfrm>
                      <a:off x="0" y="0"/>
                      <a:ext cx="5667375" cy="2802163"/>
                    </a:xfrm>
                    <a:prstGeom prst="rect">
                      <a:avLst/>
                    </a:prstGeom>
                    <a:ln/>
                  </pic:spPr>
                </pic:pic>
              </a:graphicData>
            </a:graphic>
          </wp:inline>
        </w:drawing>
      </w:r>
      <w:r w:rsidRPr="00D765A4">
        <w:rPr>
          <w:b/>
          <w:bCs/>
        </w:rPr>
        <w:t>Figure 2</w:t>
      </w:r>
      <w:r w:rsidR="00D765A4" w:rsidRPr="00D765A4">
        <w:rPr>
          <w:b/>
          <w:bCs/>
        </w:rPr>
        <w:t>.</w:t>
      </w:r>
      <w:r w:rsidRPr="00D02376">
        <w:t xml:space="preserve"> </w:t>
      </w:r>
      <w:r w:rsidRPr="00D765A4">
        <w:t>Heat Map showing the geographical producers of Scientific Publications related to the snowball search (forward - backward search) conducted on the six published papers used in our third phase review approach.</w:t>
      </w:r>
      <w:r w:rsidRPr="00D02376">
        <w:t xml:space="preserve"> The map shows the distribution of all authors of the 1697 publications weighted by their frequency and indeed shows the places that do not produce any literature on the subject or that are under the radar of the recent review papers.</w:t>
      </w:r>
      <w:bookmarkStart w:id="3" w:name="_heading=h.ajp23ro1ruym" w:colFirst="0" w:colLast="0"/>
      <w:bookmarkEnd w:id="3"/>
    </w:p>
    <w:p w14:paraId="11EA9627" w14:textId="77777777" w:rsidR="00D765A4" w:rsidRDefault="00D765A4" w:rsidP="00D765A4"/>
    <w:p w14:paraId="22170ABB" w14:textId="0F0D29AB" w:rsidR="00AA170C" w:rsidRPr="00224E75" w:rsidRDefault="00D765A4" w:rsidP="00224E75">
      <w:pPr>
        <w:rPr>
          <w:b/>
        </w:rPr>
      </w:pPr>
      <w:r>
        <w:t>This figure</w:t>
      </w:r>
      <w:r w:rsidRPr="00D02376">
        <w:t xml:space="preserve"> spatializes the scientific production and identifies the hot and cold spots in scientific production in relation to the literature reviews identified as important by the asse</w:t>
      </w:r>
      <w:r>
        <w:t>s</w:t>
      </w:r>
      <w:r w:rsidRPr="00D02376">
        <w:t xml:space="preserve">sment’s </w:t>
      </w:r>
      <w:r>
        <w:t>e</w:t>
      </w:r>
      <w:r w:rsidRPr="00D02376">
        <w:t>xpert</w:t>
      </w:r>
      <w:r>
        <w:t>s</w:t>
      </w:r>
      <w:r w:rsidRPr="00D02376">
        <w:t>. For a more in-depth exploration in the publications identified, each of them has been tagged with multiple concepts, based on the title, abstract, and the title.</w:t>
      </w:r>
    </w:p>
    <w:p w14:paraId="200E637F" w14:textId="77777777" w:rsidR="008D0E41" w:rsidRDefault="008D0E41"/>
    <w:sectPr w:rsidR="008D0E41" w:rsidSect="00BD76A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6065" w14:textId="77777777" w:rsidR="00224E75" w:rsidRDefault="00224E75" w:rsidP="00224E75">
      <w:r>
        <w:separator/>
      </w:r>
    </w:p>
  </w:endnote>
  <w:endnote w:type="continuationSeparator" w:id="0">
    <w:p w14:paraId="7843C002" w14:textId="77777777" w:rsidR="00224E75" w:rsidRDefault="00224E75" w:rsidP="0022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D4BFE" w14:textId="77777777" w:rsidR="00224E75" w:rsidRDefault="00224E75" w:rsidP="00224E75">
      <w:r>
        <w:separator/>
      </w:r>
    </w:p>
  </w:footnote>
  <w:footnote w:type="continuationSeparator" w:id="0">
    <w:p w14:paraId="4B5D1801" w14:textId="77777777" w:rsidR="00224E75" w:rsidRDefault="00224E75" w:rsidP="00224E75">
      <w:r>
        <w:continuationSeparator/>
      </w:r>
    </w:p>
  </w:footnote>
  <w:footnote w:id="1">
    <w:p w14:paraId="0252A9D0" w14:textId="0E52D746" w:rsidR="00224E75" w:rsidRPr="00224E75" w:rsidRDefault="00224E75">
      <w:pPr>
        <w:pStyle w:val="FootnoteText"/>
        <w:rPr>
          <w:lang w:val="fr-FR"/>
        </w:rPr>
      </w:pPr>
      <w:r>
        <w:rPr>
          <w:rStyle w:val="FootnoteReference"/>
        </w:rPr>
        <w:footnoteRef/>
      </w:r>
      <w:r>
        <w:t xml:space="preserve"> </w:t>
      </w:r>
      <w:hyperlink r:id="rId1" w:history="1">
        <w:r w:rsidRPr="004F26B1">
          <w:rPr>
            <w:rStyle w:val="Hyperlink"/>
          </w:rPr>
          <w:t>https://ipbes-data.github.io/IPBES_TCA_Ch3_snowball-search/IPBES_BBA_Ch3_snowball_DMP.html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6A58"/>
    <w:multiLevelType w:val="hybridMultilevel"/>
    <w:tmpl w:val="8A8EFC5C"/>
    <w:lvl w:ilvl="0" w:tplc="9E9AF744">
      <w:start w:val="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55344"/>
    <w:multiLevelType w:val="hybridMultilevel"/>
    <w:tmpl w:val="24901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63188F"/>
    <w:multiLevelType w:val="multilevel"/>
    <w:tmpl w:val="B3C4E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512D6F"/>
    <w:multiLevelType w:val="multilevel"/>
    <w:tmpl w:val="53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B526DF"/>
    <w:multiLevelType w:val="multilevel"/>
    <w:tmpl w:val="DC84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367531">
    <w:abstractNumId w:val="2"/>
  </w:num>
  <w:num w:numId="2" w16cid:durableId="373433210">
    <w:abstractNumId w:val="1"/>
  </w:num>
  <w:num w:numId="3" w16cid:durableId="1211654852">
    <w:abstractNumId w:val="0"/>
  </w:num>
  <w:num w:numId="4" w16cid:durableId="388194403">
    <w:abstractNumId w:val="3"/>
  </w:num>
  <w:num w:numId="5" w16cid:durableId="234367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0C"/>
    <w:rsid w:val="000B3B11"/>
    <w:rsid w:val="001C0C19"/>
    <w:rsid w:val="001F213C"/>
    <w:rsid w:val="00224E75"/>
    <w:rsid w:val="00317CF9"/>
    <w:rsid w:val="00346ADD"/>
    <w:rsid w:val="003A7AD3"/>
    <w:rsid w:val="004234D7"/>
    <w:rsid w:val="005B1258"/>
    <w:rsid w:val="005B21B9"/>
    <w:rsid w:val="005B63CC"/>
    <w:rsid w:val="00621E2D"/>
    <w:rsid w:val="006A4A42"/>
    <w:rsid w:val="006C5859"/>
    <w:rsid w:val="007401EE"/>
    <w:rsid w:val="007414A0"/>
    <w:rsid w:val="008D0E41"/>
    <w:rsid w:val="008E08DB"/>
    <w:rsid w:val="009153E8"/>
    <w:rsid w:val="009532C3"/>
    <w:rsid w:val="009E13A2"/>
    <w:rsid w:val="00A23648"/>
    <w:rsid w:val="00A52C95"/>
    <w:rsid w:val="00A603FA"/>
    <w:rsid w:val="00A729CD"/>
    <w:rsid w:val="00A93996"/>
    <w:rsid w:val="00AA170C"/>
    <w:rsid w:val="00B74CBB"/>
    <w:rsid w:val="00B76715"/>
    <w:rsid w:val="00BD76A1"/>
    <w:rsid w:val="00C56C00"/>
    <w:rsid w:val="00C92623"/>
    <w:rsid w:val="00D02376"/>
    <w:rsid w:val="00D765A4"/>
    <w:rsid w:val="00DB2F81"/>
    <w:rsid w:val="00DE5B61"/>
    <w:rsid w:val="00EA1573"/>
    <w:rsid w:val="00F45AAC"/>
    <w:rsid w:val="00F71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0371"/>
  <w15:chartTrackingRefBased/>
  <w15:docId w15:val="{EFADAB17-93B6-4106-93A6-10B2EBA4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70C"/>
    <w:pPr>
      <w:spacing w:after="0" w:line="240" w:lineRule="auto"/>
    </w:pPr>
    <w:rPr>
      <w:rFonts w:ascii="Calibri" w:hAnsi="Calibri" w:cs="Calibri"/>
      <w:lang w:eastAsia="en-GB"/>
    </w:rPr>
  </w:style>
  <w:style w:type="paragraph" w:styleId="Heading2">
    <w:name w:val="heading 2"/>
    <w:basedOn w:val="Normal"/>
    <w:next w:val="Normal"/>
    <w:link w:val="Heading2Char"/>
    <w:uiPriority w:val="9"/>
    <w:unhideWhenUsed/>
    <w:qFormat/>
    <w:rsid w:val="005B1258"/>
    <w:pPr>
      <w:keepNext/>
      <w:keepLines/>
      <w:spacing w:before="360" w:after="120" w:line="276" w:lineRule="auto"/>
      <w:outlineLvl w:val="1"/>
    </w:pPr>
    <w:rPr>
      <w:rFonts w:ascii="Times New Roman" w:eastAsia="Times New Roman" w:hAnsi="Times New Roman" w:cs="Times New Roman"/>
      <w:b/>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70C"/>
    <w:rPr>
      <w:color w:val="0563C1" w:themeColor="hyperlink"/>
      <w:u w:val="single"/>
    </w:rPr>
  </w:style>
  <w:style w:type="character" w:customStyle="1" w:styleId="Heading2Char">
    <w:name w:val="Heading 2 Char"/>
    <w:basedOn w:val="DefaultParagraphFont"/>
    <w:link w:val="Heading2"/>
    <w:uiPriority w:val="9"/>
    <w:rsid w:val="005B1258"/>
    <w:rPr>
      <w:rFonts w:ascii="Times New Roman" w:eastAsia="Times New Roman" w:hAnsi="Times New Roman" w:cs="Times New Roman"/>
      <w:b/>
      <w:sz w:val="24"/>
      <w:szCs w:val="32"/>
      <w:lang w:eastAsia="en-GB"/>
      <w14:ligatures w14:val="none"/>
    </w:rPr>
  </w:style>
  <w:style w:type="paragraph" w:styleId="ListParagraph">
    <w:name w:val="List Paragraph"/>
    <w:basedOn w:val="Normal"/>
    <w:uiPriority w:val="34"/>
    <w:qFormat/>
    <w:rsid w:val="00EA1573"/>
    <w:pPr>
      <w:ind w:left="720"/>
      <w:contextualSpacing/>
    </w:pPr>
  </w:style>
  <w:style w:type="paragraph" w:customStyle="1" w:styleId="paragraph">
    <w:name w:val="paragraph"/>
    <w:basedOn w:val="Normal"/>
    <w:rsid w:val="00F45AAC"/>
    <w:pPr>
      <w:spacing w:before="100" w:beforeAutospacing="1" w:after="100" w:afterAutospacing="1"/>
    </w:pPr>
    <w:rPr>
      <w:rFonts w:ascii="Times New Roman" w:eastAsia="Times New Roman" w:hAnsi="Times New Roman" w:cs="Times New Roman"/>
      <w:sz w:val="24"/>
      <w:szCs w:val="24"/>
      <w14:ligatures w14:val="none"/>
    </w:rPr>
  </w:style>
  <w:style w:type="character" w:customStyle="1" w:styleId="normaltextrun">
    <w:name w:val="normaltextrun"/>
    <w:basedOn w:val="DefaultParagraphFont"/>
    <w:rsid w:val="00F45AAC"/>
  </w:style>
  <w:style w:type="character" w:customStyle="1" w:styleId="eop">
    <w:name w:val="eop"/>
    <w:basedOn w:val="DefaultParagraphFont"/>
    <w:rsid w:val="00F45AAC"/>
  </w:style>
  <w:style w:type="character" w:styleId="CommentReference">
    <w:name w:val="annotation reference"/>
    <w:basedOn w:val="DefaultParagraphFont"/>
    <w:uiPriority w:val="99"/>
    <w:semiHidden/>
    <w:unhideWhenUsed/>
    <w:rsid w:val="00A23648"/>
    <w:rPr>
      <w:sz w:val="16"/>
      <w:szCs w:val="16"/>
    </w:rPr>
  </w:style>
  <w:style w:type="paragraph" w:styleId="CommentText">
    <w:name w:val="annotation text"/>
    <w:basedOn w:val="Normal"/>
    <w:link w:val="CommentTextChar"/>
    <w:uiPriority w:val="99"/>
    <w:unhideWhenUsed/>
    <w:rsid w:val="00A23648"/>
    <w:rPr>
      <w:sz w:val="20"/>
      <w:szCs w:val="20"/>
    </w:rPr>
  </w:style>
  <w:style w:type="character" w:customStyle="1" w:styleId="CommentTextChar">
    <w:name w:val="Comment Text Char"/>
    <w:basedOn w:val="DefaultParagraphFont"/>
    <w:link w:val="CommentText"/>
    <w:uiPriority w:val="99"/>
    <w:rsid w:val="00A23648"/>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A23648"/>
    <w:rPr>
      <w:b/>
      <w:bCs/>
    </w:rPr>
  </w:style>
  <w:style w:type="character" w:customStyle="1" w:styleId="CommentSubjectChar">
    <w:name w:val="Comment Subject Char"/>
    <w:basedOn w:val="CommentTextChar"/>
    <w:link w:val="CommentSubject"/>
    <w:uiPriority w:val="99"/>
    <w:semiHidden/>
    <w:rsid w:val="00A23648"/>
    <w:rPr>
      <w:rFonts w:ascii="Calibri" w:hAnsi="Calibri" w:cs="Calibri"/>
      <w:b/>
      <w:bCs/>
      <w:sz w:val="20"/>
      <w:szCs w:val="20"/>
      <w:lang w:eastAsia="en-GB"/>
    </w:rPr>
  </w:style>
  <w:style w:type="character" w:styleId="UnresolvedMention">
    <w:name w:val="Unresolved Mention"/>
    <w:basedOn w:val="DefaultParagraphFont"/>
    <w:uiPriority w:val="99"/>
    <w:semiHidden/>
    <w:unhideWhenUsed/>
    <w:rsid w:val="000B3B11"/>
    <w:rPr>
      <w:color w:val="605E5C"/>
      <w:shd w:val="clear" w:color="auto" w:fill="E1DFDD"/>
    </w:rPr>
  </w:style>
  <w:style w:type="paragraph" w:styleId="FootnoteText">
    <w:name w:val="footnote text"/>
    <w:basedOn w:val="Normal"/>
    <w:link w:val="FootnoteTextChar"/>
    <w:uiPriority w:val="99"/>
    <w:semiHidden/>
    <w:unhideWhenUsed/>
    <w:rsid w:val="00224E75"/>
    <w:rPr>
      <w:sz w:val="20"/>
      <w:szCs w:val="20"/>
    </w:rPr>
  </w:style>
  <w:style w:type="character" w:customStyle="1" w:styleId="FootnoteTextChar">
    <w:name w:val="Footnote Text Char"/>
    <w:basedOn w:val="DefaultParagraphFont"/>
    <w:link w:val="FootnoteText"/>
    <w:uiPriority w:val="99"/>
    <w:semiHidden/>
    <w:rsid w:val="00224E75"/>
    <w:rPr>
      <w:rFonts w:ascii="Calibri" w:hAnsi="Calibri" w:cs="Calibri"/>
      <w:sz w:val="20"/>
      <w:szCs w:val="20"/>
      <w:lang w:eastAsia="en-GB"/>
    </w:rPr>
  </w:style>
  <w:style w:type="character" w:styleId="FootnoteReference">
    <w:name w:val="footnote reference"/>
    <w:basedOn w:val="DefaultParagraphFont"/>
    <w:uiPriority w:val="99"/>
    <w:semiHidden/>
    <w:unhideWhenUsed/>
    <w:rsid w:val="00224E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0992">
      <w:bodyDiv w:val="1"/>
      <w:marLeft w:val="0"/>
      <w:marRight w:val="0"/>
      <w:marTop w:val="0"/>
      <w:marBottom w:val="0"/>
      <w:divBdr>
        <w:top w:val="none" w:sz="0" w:space="0" w:color="auto"/>
        <w:left w:val="none" w:sz="0" w:space="0" w:color="auto"/>
        <w:bottom w:val="none" w:sz="0" w:space="0" w:color="auto"/>
        <w:right w:val="none" w:sz="0" w:space="0" w:color="auto"/>
      </w:divBdr>
    </w:div>
    <w:div w:id="1483693267">
      <w:bodyDiv w:val="1"/>
      <w:marLeft w:val="0"/>
      <w:marRight w:val="0"/>
      <w:marTop w:val="0"/>
      <w:marBottom w:val="0"/>
      <w:divBdr>
        <w:top w:val="none" w:sz="0" w:space="0" w:color="auto"/>
        <w:left w:val="none" w:sz="0" w:space="0" w:color="auto"/>
        <w:bottom w:val="none" w:sz="0" w:space="0" w:color="auto"/>
        <w:right w:val="none" w:sz="0" w:space="0" w:color="auto"/>
      </w:divBdr>
    </w:div>
    <w:div w:id="204139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vid.lam@leuphana.de" TargetMode="External"/><Relationship Id="rId18" Type="http://schemas.openxmlformats.org/officeDocument/2006/relationships/image" Target="media/image1.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ainer.Krug@senckenberg.de" TargetMode="External"/><Relationship Id="rId17" Type="http://schemas.openxmlformats.org/officeDocument/2006/relationships/hyperlink" Target="mailto:camille.guibal@umontpellier.fr" TargetMode="External"/><Relationship Id="rId2" Type="http://schemas.openxmlformats.org/officeDocument/2006/relationships/customXml" Target="../customXml/item2.xml"/><Relationship Id="rId16" Type="http://schemas.openxmlformats.org/officeDocument/2006/relationships/hyperlink" Target="mailto:zuhre.aksoy@boun.edu.t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therine.sabinot@ird.fr" TargetMode="External"/><Relationship Id="rId5" Type="http://schemas.openxmlformats.org/officeDocument/2006/relationships/numbering" Target="numbering.xml"/><Relationship Id="rId15" Type="http://schemas.openxmlformats.org/officeDocument/2006/relationships/hyperlink" Target="mailto:nishi@unu.edu"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dressavmansur@gmail.com"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pbes-data.github.io/IPBES_TCA_Ch3_snowball-search/IPBES_BBA_Ch3_snowball_D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D8748D5FCEA0419347C21763621AC3" ma:contentTypeVersion="14" ma:contentTypeDescription="Create a new document." ma:contentTypeScope="" ma:versionID="e1029c272da794f328823e04c2779a81">
  <xsd:schema xmlns:xsd="http://www.w3.org/2001/XMLSchema" xmlns:xs="http://www.w3.org/2001/XMLSchema" xmlns:p="http://schemas.microsoft.com/office/2006/metadata/properties" xmlns:ns2="fff3abfe-cd32-42d3-80f6-d7f8c0da48e8" xmlns:ns3="96c10989-566e-4b3c-9f1e-dcd5760fd99f" targetNamespace="http://schemas.microsoft.com/office/2006/metadata/properties" ma:root="true" ma:fieldsID="57c29f555165a427e9a85f20ccfb89c2" ns2:_="" ns3:_="">
    <xsd:import namespace="fff3abfe-cd32-42d3-80f6-d7f8c0da48e8"/>
    <xsd:import namespace="96c10989-566e-4b3c-9f1e-dcd5760fd9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abfe-cd32-42d3-80f6-d7f8c0da4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d23a765-515f-47ec-afed-c1f86ac76a2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c10989-566e-4b3c-9f1e-dcd5760fd9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98aa7a6-de8a-48f4-9ff1-140f408e625a}" ma:internalName="TaxCatchAll" ma:showField="CatchAllData" ma:web="96c10989-566e-4b3c-9f1e-dcd5760fd9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6c10989-566e-4b3c-9f1e-dcd5760fd99f" xsi:nil="true"/>
    <lcf76f155ced4ddcb4097134ff3c332f xmlns="fff3abfe-cd32-42d3-80f6-d7f8c0da48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67DA29-463D-4143-9139-6D1B95ABA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abfe-cd32-42d3-80f6-d7f8c0da48e8"/>
    <ds:schemaRef ds:uri="96c10989-566e-4b3c-9f1e-dcd5760fd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9D545A-E53D-4FF1-9497-494D1919C861}">
  <ds:schemaRefs>
    <ds:schemaRef ds:uri="http://schemas.microsoft.com/sharepoint/v3/contenttype/forms"/>
  </ds:schemaRefs>
</ds:datastoreItem>
</file>

<file path=customXml/itemProps3.xml><?xml version="1.0" encoding="utf-8"?>
<ds:datastoreItem xmlns:ds="http://schemas.openxmlformats.org/officeDocument/2006/customXml" ds:itemID="{FF172348-1A2B-45C6-9E4A-741B70016CFC}">
  <ds:schemaRefs>
    <ds:schemaRef ds:uri="http://schemas.openxmlformats.org/officeDocument/2006/bibliography"/>
  </ds:schemaRefs>
</ds:datastoreItem>
</file>

<file path=customXml/itemProps4.xml><?xml version="1.0" encoding="utf-8"?>
<ds:datastoreItem xmlns:ds="http://schemas.openxmlformats.org/officeDocument/2006/customXml" ds:itemID="{9B08250B-D448-403A-A590-AF41C2136892}">
  <ds:schemaRefs>
    <ds:schemaRef ds:uri="http://purl.org/dc/terms/"/>
    <ds:schemaRef ds:uri="96c10989-566e-4b3c-9f1e-dcd5760fd99f"/>
    <ds:schemaRef ds:uri="http://purl.org/dc/dcmitype/"/>
    <ds:schemaRef ds:uri="http://www.w3.org/XML/1998/namespace"/>
    <ds:schemaRef ds:uri="http://schemas.microsoft.com/office/2006/documentManagement/types"/>
    <ds:schemaRef ds:uri="fff3abfe-cd32-42d3-80f6-d7f8c0da48e8"/>
    <ds:schemaRef ds:uri="http://schemas.openxmlformats.org/package/2006/metadata/core-properties"/>
    <ds:schemaRef ds:uri="http://purl.org/dc/elements/1.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Guibal</dc:creator>
  <cp:keywords/>
  <dc:description/>
  <cp:lastModifiedBy>Camille Guibal</cp:lastModifiedBy>
  <cp:revision>2</cp:revision>
  <dcterms:created xsi:type="dcterms:W3CDTF">2023-12-02T08:46:00Z</dcterms:created>
  <dcterms:modified xsi:type="dcterms:W3CDTF">2023-12-02T08:46:00Z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0x01010027D8748D5FCEA0419347C21763621AC3</vt:lpwstr>
  </property>
  <property fmtid="{D5CDD505-2E9C-101B-9397-08002B2CF9AE}" pid="3" name="MediaServiceImageTags">
    <vt:lpwstr/>
  </property>
</Properties>
</file>