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ca4959a0396d556f8101c938d58639415eadb6"/>
    <w:p>
      <w:pPr>
        <w:pStyle w:val="Heading1"/>
      </w:pPr>
      <w:r>
        <w:t xml:space="preserve">Forward - Backward search of literature based on key papers</w:t>
      </w:r>
    </w:p>
    <w:bookmarkEnd w:id="20"/>
    <w:bookmarkStart w:id="24" w:name="working-titletfc-ch-3-team-1"/>
    <w:p>
      <w:pPr>
        <w:pStyle w:val="Heading1"/>
      </w:pPr>
      <w:r>
        <w:t xml:space="preserve">Working Title:TfC Ch 3 Team 1</w:t>
      </w:r>
    </w:p>
    <w:bookmarkStart w:id="23" w:name="contact-points"/>
    <w:p>
      <w:pPr>
        <w:pStyle w:val="Heading2"/>
      </w:pPr>
      <w:r>
        <w:t xml:space="preserve">Contact Points</w:t>
      </w:r>
    </w:p>
    <w:bookmarkStart w:id="21" w:name="contact"/>
    <w:p>
      <w:pPr>
        <w:pStyle w:val="Heading3"/>
      </w:pPr>
      <w:r>
        <w:t xml:space="preserve">contact:</w:t>
      </w:r>
    </w:p>
    <w:p>
      <w:pPr>
        <w:pStyle w:val="SourceCode"/>
      </w:pPr>
      <w:r>
        <w:rPr>
          <w:rStyle w:val="VerbatimChar"/>
        </w:rPr>
        <w:t xml:space="preserve">- [Catherine Sabinot](catherine.sabinot@ird.fr)</w:t>
      </w:r>
    </w:p>
    <w:bookmarkEnd w:id="21"/>
    <w:bookmarkStart w:id="22" w:name="cc"/>
    <w:p>
      <w:pPr>
        <w:pStyle w:val="Heading3"/>
      </w:pPr>
      <w:r>
        <w:t xml:space="preserve">cc</w:t>
      </w:r>
    </w:p>
    <w:p>
      <w:pPr>
        <w:pStyle w:val="SourceCode"/>
      </w:pPr>
      <w:r>
        <w:rPr>
          <w:rStyle w:val="VerbatimChar"/>
        </w:rPr>
        <w:t xml:space="preserve">- [Zuhre Aksoy](zuhre.aksoy@boun.edu.tr)</w:t>
      </w:r>
      <w:r>
        <w:br/>
      </w:r>
      <w:r>
        <w:rPr>
          <w:rStyle w:val="VerbatimChar"/>
        </w:rPr>
        <w:t xml:space="preserve">- [Andressa](andressavmansur@gmail.com)</w:t>
      </w:r>
      <w:r>
        <w:br/>
      </w:r>
      <w:r>
        <w:rPr>
          <w:rStyle w:val="VerbatimChar"/>
        </w:rPr>
        <w:t xml:space="preserve">- [TfC tsu](ipbes-tsu-transformative-change@umontpellier.fr)</w:t>
      </w:r>
    </w:p>
    <w:bookmarkEnd w:id="22"/>
    <w:bookmarkEnd w:id="23"/>
    <w:bookmarkEnd w:id="24"/>
    <w:bookmarkStart w:id="29" w:name="approach"/>
    <w:p>
      <w:pPr>
        <w:pStyle w:val="Heading1"/>
      </w:pPr>
      <w:r>
        <w:t xml:space="preserve">Approach</w:t>
      </w:r>
    </w:p>
    <w:p>
      <w:pPr>
        <w:pStyle w:val="FirstParagraph"/>
      </w:pPr>
      <w:r>
        <w:t xml:space="preserve">The authors provided a list of four key-references:</w:t>
      </w:r>
    </w:p>
    <w:p>
      <w:pPr>
        <w:numPr>
          <w:ilvl w:val="0"/>
          <w:numId w:val="1001"/>
        </w:numPr>
        <w:pStyle w:val="Compact"/>
      </w:pPr>
      <w:r>
        <w:t xml:space="preserve">Evans, Tegan, Stephen Fletcher, Pierre Failler, and Jonathan Potts.</w:t>
      </w:r>
      <w:r>
        <w:t xml:space="preserve"> </w:t>
      </w:r>
      <w:r>
        <w:t xml:space="preserve">“</w:t>
      </w:r>
      <w:r>
        <w:t xml:space="preserve">Untangling Theories of Transformation: Reflections for Ocean Governance.</w:t>
      </w:r>
      <w:r>
        <w:t xml:space="preserve">”</w:t>
      </w:r>
      <w:r>
        <w:t xml:space="preserve"> </w:t>
      </w:r>
      <w:r>
        <w:t xml:space="preserve">Marine Policy 155 (September 2023): 105710. https://doi.org/10.1016/j.marpol.2023.105710.</w:t>
      </w:r>
    </w:p>
    <w:p>
      <w:pPr>
        <w:numPr>
          <w:ilvl w:val="0"/>
          <w:numId w:val="1001"/>
        </w:numPr>
        <w:pStyle w:val="Compact"/>
      </w:pPr>
      <w:r>
        <w:t xml:space="preserve">Fisher, Eleanor, Eduardo Brondizio, and Emily Boyd.</w:t>
      </w:r>
      <w:r>
        <w:t xml:space="preserve"> </w:t>
      </w:r>
      <w:r>
        <w:t xml:space="preserve">“</w:t>
      </w:r>
      <w:r>
        <w:t xml:space="preserve">Critical Social Science Perspectives on Transformations to Sustainability.</w:t>
      </w:r>
      <w:r>
        <w:t xml:space="preserve">”</w:t>
      </w:r>
      <w:r>
        <w:t xml:space="preserve"> </w:t>
      </w:r>
      <w:r>
        <w:t xml:space="preserve">Current Opinion in Environmental Sustainability 55 (April 2022): 101160. https://doi.org/10.1016/j.cosust.2022.101160.</w:t>
      </w:r>
    </w:p>
    <w:p>
      <w:pPr>
        <w:numPr>
          <w:ilvl w:val="0"/>
          <w:numId w:val="1001"/>
        </w:numPr>
        <w:pStyle w:val="Compact"/>
      </w:pPr>
      <w:r>
        <w:t xml:space="preserve">Loorbach, Derk, Niki Frantzeskaki, and Flor Avelino.</w:t>
      </w:r>
      <w:r>
        <w:t xml:space="preserve"> </w:t>
      </w:r>
      <w:r>
        <w:t xml:space="preserve">“</w:t>
      </w:r>
      <w:r>
        <w:t xml:space="preserve">Sustainability Transitions Research: Transforming Science and Practice for Societal Change.</w:t>
      </w:r>
      <w:r>
        <w:t xml:space="preserve">”</w:t>
      </w:r>
      <w:r>
        <w:t xml:space="preserve"> </w:t>
      </w:r>
      <w:r>
        <w:t xml:space="preserve">Annual Review of Environment and Resources 42, no. 1 (October 17, 2017): 599–626. https://doi.org/10.1146/annurev-environ-102014-021340.</w:t>
      </w:r>
    </w:p>
    <w:p>
      <w:pPr>
        <w:numPr>
          <w:ilvl w:val="0"/>
          <w:numId w:val="1001"/>
        </w:numPr>
        <w:pStyle w:val="Compact"/>
      </w:pPr>
      <w:r>
        <w:t xml:space="preserve">Scoones, Ian, Andrew Stirling, Dinesh Abrol, Joanes Atela, Lakshmi Charli-Joseph, Hallie Eakin, Adrian Ely, et al. </w:t>
      </w:r>
      <w:r>
        <w:t xml:space="preserve">“</w:t>
      </w:r>
      <w:r>
        <w:t xml:space="preserve">Transformations to Sustainability: Combining Structural, Systemic and Enabling Approaches.</w:t>
      </w:r>
      <w:r>
        <w:t xml:space="preserve">”</w:t>
      </w:r>
      <w:r>
        <w:t xml:space="preserve"> </w:t>
      </w:r>
      <w:r>
        <w:t xml:space="preserve">Current Opinion in Environmental Sustainability 42 (February 2020): 65–75. https://doi.org/10.1016/j.cosust.2019.12.004.</w:t>
      </w:r>
    </w:p>
    <w:p>
      <w:pPr>
        <w:pStyle w:val="FirstParagraph"/>
      </w:pPr>
      <w:r>
        <w:t xml:space="preserve">They requested the following:</w:t>
      </w:r>
    </w:p>
    <w:bookmarkStart w:id="25" w:name="task-1"/>
    <w:p>
      <w:pPr>
        <w:pStyle w:val="Heading2"/>
      </w:pPr>
      <w:r>
        <w:t xml:space="preserve">Task 1</w:t>
      </w:r>
    </w:p>
    <w:p>
      <w:pPr>
        <w:numPr>
          <w:ilvl w:val="0"/>
          <w:numId w:val="1002"/>
        </w:numPr>
        <w:pStyle w:val="Compact"/>
      </w:pPr>
      <w:r>
        <w:t xml:space="preserve">Search for all references the key-references</w:t>
      </w:r>
      <w:r>
        <w:t xml:space="preserve"> </w:t>
      </w:r>
      <w:r>
        <w:rPr>
          <w:bCs/>
          <w:b/>
        </w:rPr>
        <w:t xml:space="preserve">cites</w:t>
      </w:r>
    </w:p>
    <w:p>
      <w:pPr>
        <w:numPr>
          <w:ilvl w:val="0"/>
          <w:numId w:val="1002"/>
        </w:numPr>
        <w:pStyle w:val="Compact"/>
      </w:pPr>
      <w:r>
        <w:t xml:space="preserve">Search for all references the key-references is</w:t>
      </w:r>
      <w:r>
        <w:t xml:space="preserve"> </w:t>
      </w:r>
      <w:r>
        <w:rPr>
          <w:bCs/>
          <w:b/>
        </w:rPr>
        <w:t xml:space="preserve">cited</w:t>
      </w:r>
      <w:r>
        <w:t xml:space="preserve"> </w:t>
      </w:r>
      <w:r>
        <w:t xml:space="preserve">in</w:t>
      </w:r>
    </w:p>
    <w:bookmarkEnd w:id="25"/>
    <w:bookmarkStart w:id="26" w:name="task-2"/>
    <w:p>
      <w:pPr>
        <w:pStyle w:val="Heading2"/>
      </w:pPr>
      <w:r>
        <w:t xml:space="preserve">Task 2</w:t>
      </w:r>
    </w:p>
    <w:p>
      <w:pPr>
        <w:pStyle w:val="FirstParagraph"/>
      </w:pPr>
      <w:r>
        <w:t xml:space="preserve">Two additional papers were provided by the authors:</w:t>
      </w:r>
    </w:p>
    <w:p>
      <w:pPr>
        <w:numPr>
          <w:ilvl w:val="0"/>
          <w:numId w:val="1003"/>
        </w:numPr>
        <w:pStyle w:val="Compact"/>
      </w:pPr>
      <w:r>
        <w:t xml:space="preserve">Håkon Aspøy, Yennie K. Bredin, Berit Junker-Köhler, David N. Barton, Inventory of behaviour science theories potentially influencing biodiversity decision making Deliverable number: D1.2, Norwegian Institute for Nature Research (NINA)</w:t>
      </w:r>
    </w:p>
    <w:p>
      <w:pPr>
        <w:numPr>
          <w:ilvl w:val="0"/>
          <w:numId w:val="1003"/>
        </w:numPr>
        <w:pStyle w:val="Compact"/>
      </w:pPr>
      <w:r>
        <w:t xml:space="preserve">Waddock, Fazwy in review (attached): PLEASE DO NOT SHARE, CONFIDENTIAL</w:t>
      </w:r>
    </w:p>
    <w:p>
      <w:pPr>
        <w:pStyle w:val="FirstParagraph"/>
      </w:pPr>
      <w:r>
        <w:t xml:space="preserve">Of these additional references, the authors requested the following:</w:t>
      </w:r>
      <w:r>
        <w:t xml:space="preserve"> </w:t>
      </w:r>
      <w:r>
        <w:t xml:space="preserve">- extract list of references cited in the two additional papers</w:t>
      </w:r>
    </w:p>
    <w:bookmarkEnd w:id="26"/>
    <w:bookmarkStart w:id="27" w:name="task-3"/>
    <w:p>
      <w:pPr>
        <w:pStyle w:val="Heading2"/>
      </w:pPr>
      <w:r>
        <w:t xml:space="preserve">Task 3</w:t>
      </w:r>
    </w:p>
    <w:p>
      <w:pPr>
        <w:pStyle w:val="FirstParagraph"/>
      </w:pPr>
      <w:r>
        <w:t xml:space="preserve">Quantify the</w:t>
      </w:r>
      <w:r>
        <w:t xml:space="preserve"> </w:t>
      </w:r>
      <w:r>
        <w:rPr>
          <w:bCs/>
          <w:b/>
        </w:rPr>
        <w:t xml:space="preserve">local impact</w:t>
      </w:r>
      <w:r>
        <w:t xml:space="preserve"> </w:t>
      </w:r>
      <w:r>
        <w:t xml:space="preserve">of the cited references in the key-papers by counting how often the reference is cited in the respective key-paper.</w:t>
      </w:r>
    </w:p>
    <w:bookmarkEnd w:id="27"/>
    <w:bookmarkStart w:id="28" w:name="task-4"/>
    <w:p>
      <w:pPr>
        <w:pStyle w:val="Heading2"/>
      </w:pPr>
      <w:r>
        <w:t xml:space="preserve">Task 4</w:t>
      </w:r>
    </w:p>
    <w:p>
      <w:pPr>
        <w:pStyle w:val="FirstParagraph"/>
      </w:pPr>
      <w:r>
        <w:t xml:space="preserve">Quantify the</w:t>
      </w:r>
      <w:r>
        <w:t xml:space="preserve"> </w:t>
      </w:r>
      <w:r>
        <w:rPr>
          <w:bCs/>
          <w:b/>
        </w:rPr>
        <w:t xml:space="preserve">global impact</w:t>
      </w:r>
      <w:r>
        <w:t xml:space="preserve"> </w:t>
      </w:r>
      <w:r>
        <w:t xml:space="preserve">of the references the key-paper</w:t>
      </w:r>
      <w:r>
        <w:t xml:space="preserve"> </w:t>
      </w:r>
      <w:r>
        <w:rPr>
          <w:bCs/>
          <w:b/>
        </w:rPr>
        <w:t xml:space="preserve">cites</w:t>
      </w:r>
      <w:r>
        <w:t xml:space="preserve"> </w:t>
      </w:r>
      <w:r>
        <w:t xml:space="preserve">as well as the refererences where the ke-paper is</w:t>
      </w:r>
      <w:r>
        <w:t xml:space="preserve"> </w:t>
      </w:r>
      <w:r>
        <w:rPr>
          <w:bCs/>
          <w:b/>
        </w:rPr>
        <w:t xml:space="preserve">cited</w:t>
      </w:r>
      <w:r>
        <w:t xml:space="preserve"> </w:t>
      </w:r>
      <w:r>
        <w:t xml:space="preserve">in by counting the number each of these papers is cited globally and dividing it by the time since publication of the respective paper.</w:t>
      </w:r>
    </w:p>
    <w:bookmarkEnd w:id="28"/>
    <w:bookmarkEnd w:id="29"/>
    <w:bookmarkStart w:id="36" w:name="methods"/>
    <w:p>
      <w:pPr>
        <w:pStyle w:val="Heading1"/>
      </w:pPr>
      <w:r>
        <w:t xml:space="preserve">Methods</w:t>
      </w:r>
    </w:p>
    <w:bookmarkStart w:id="32" w:name="task-1-1"/>
    <w:p>
      <w:pPr>
        <w:pStyle w:val="Heading2"/>
      </w:pPr>
      <w:r>
        <w:t xml:space="preserve">Task 1</w:t>
      </w:r>
    </w:p>
    <w:bookmarkStart w:id="30" w:name="key-references-cites-references"/>
    <w:p>
      <w:pPr>
        <w:pStyle w:val="Heading3"/>
      </w:pPr>
      <w:r>
        <w:t xml:space="preserve">key-references cites references</w:t>
      </w:r>
    </w:p>
    <w:p>
      <w:pPr>
        <w:pStyle w:val="FirstParagraph"/>
      </w:pPr>
      <w:r>
        <w:t xml:space="preserve">The references were manually downloaded from the Web of Science and are saved in different formats in the folder</w:t>
      </w:r>
      <w:r>
        <w:t xml:space="preserve"> </w:t>
      </w:r>
      <w:r>
        <w:rPr>
          <w:rStyle w:val="VerbatimChar"/>
        </w:rPr>
        <w:t xml:space="preserve">./Task 1/Scopus</w:t>
      </w:r>
      <w:r>
        <w:t xml:space="preserve">. It is not expected to be different when downloading these from the Web of Science.</w:t>
      </w:r>
    </w:p>
    <w:bookmarkEnd w:id="30"/>
    <w:bookmarkStart w:id="31" w:name="key-references-is-cited-in"/>
    <w:p>
      <w:pPr>
        <w:pStyle w:val="Heading3"/>
      </w:pPr>
      <w:r>
        <w:t xml:space="preserve">key-references is cited in</w:t>
      </w:r>
    </w:p>
    <w:p>
      <w:pPr>
        <w:pStyle w:val="FirstParagraph"/>
      </w:pPr>
      <w:r>
        <w:t xml:space="preserve">The references were manually downloaded from the Web of Science and are saved in different formats in the folder</w:t>
      </w:r>
      <w:r>
        <w:t xml:space="preserve"> </w:t>
      </w:r>
      <w:r>
        <w:rPr>
          <w:rStyle w:val="VerbatimChar"/>
        </w:rPr>
        <w:t xml:space="preserve">./Task 1/WoS</w:t>
      </w:r>
      <w:r>
        <w:t xml:space="preserve">.</w:t>
      </w:r>
    </w:p>
    <w:bookmarkEnd w:id="31"/>
    <w:bookmarkEnd w:id="32"/>
    <w:bookmarkStart w:id="34" w:name="task-2-1"/>
    <w:p>
      <w:pPr>
        <w:pStyle w:val="Heading2"/>
      </w:pPr>
      <w:r>
        <w:t xml:space="preserve">Task 2</w:t>
      </w:r>
    </w:p>
    <w:p>
      <w:pPr>
        <w:pStyle w:val="FirstParagraph"/>
      </w:pPr>
      <w:r>
        <w:t xml:space="preserve">The references in Aspøy et al and Waddock &amp; Fazwy were extracted by:</w:t>
      </w:r>
      <w:r>
        <w:t xml:space="preserve"> </w:t>
      </w:r>
      <w:r>
        <w:t xml:space="preserve">- copying the references out of the pdf and cleai=ning the text</w:t>
      </w:r>
      <w:r>
        <w:t xml:space="preserve"> </w:t>
      </w:r>
      <w:r>
        <w:t xml:space="preserve">- converting the formated references into different formats using</w:t>
      </w:r>
      <w:r>
        <w:t xml:space="preserve"> </w:t>
      </w:r>
      <w:hyperlink r:id="rId33">
        <w:r>
          <w:rPr>
            <w:rStyle w:val="Hyperlink"/>
          </w:rPr>
          <w:t xml:space="preserve">Reference Extractor</w:t>
        </w:r>
      </w:hyperlink>
      <w:r>
        <w:t xml:space="preserve"> </w:t>
      </w:r>
      <w:r>
        <w:t xml:space="preserve">resulting files are stored in the folder ./Task 2/`</w:t>
      </w:r>
    </w:p>
    <w:bookmarkEnd w:id="34"/>
    <w:bookmarkStart w:id="35" w:name="task-3-1"/>
    <w:p>
      <w:pPr>
        <w:pStyle w:val="Heading2"/>
      </w:pPr>
      <w:r>
        <w:t xml:space="preserve">Task 3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local importance</w:t>
      </w:r>
      <w:r>
        <w:t xml:space="preserve"> </w:t>
      </w:r>
      <w:r>
        <w:t xml:space="preserve">is determined by counting the number of times a reference is cited in a key-paper. This is done by:</w:t>
      </w:r>
    </w:p>
    <w:p>
      <w:pPr>
        <w:numPr>
          <w:ilvl w:val="0"/>
          <w:numId w:val="1004"/>
        </w:numPr>
        <w:pStyle w:val="Compact"/>
      </w:pPr>
      <w:r>
        <w:t xml:space="preserve">converting the key-papers into a single text file (</w:t>
      </w:r>
      <w:r>
        <w:rPr>
          <w:rStyle w:val="VerbatimChar"/>
        </w:rPr>
        <w:t xml:space="preserve">./Task 3/....txt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extract all citations in paper by extracting all</w:t>
      </w:r>
      <w:r>
        <w:t xml:space="preserve"> </w:t>
      </w:r>
      <w:r>
        <w:rPr>
          <w:rStyle w:val="VerbatimChar"/>
        </w:rPr>
        <w:t xml:space="preserve">[...]  or</w:t>
      </w:r>
      <w:r>
        <w:t xml:space="preserve">(…)</w:t>
      </w:r>
      <w:r>
        <w:rPr>
          <w:rStyle w:val="VerbatimChar"/>
        </w:rPr>
        <w:t xml:space="preserve">, depending on citation style (</w:t>
      </w:r>
      <w:r>
        <w:t xml:space="preserve">./Task 3/… - extracted [].txt`)</w:t>
      </w:r>
    </w:p>
    <w:p>
      <w:pPr>
        <w:numPr>
          <w:ilvl w:val="0"/>
          <w:numId w:val="1004"/>
        </w:numPr>
        <w:pStyle w:val="Compact"/>
      </w:pPr>
      <w:r>
        <w:t xml:space="preserve">clean the text files to remove regular brackets and expand e.g [1-3] to [1], [2], [3] (</w:t>
      </w:r>
      <w:r>
        <w:rPr>
          <w:rStyle w:val="VerbatimChar"/>
        </w:rPr>
        <w:t xml:space="preserve">./Task 3/... - extracted - cleaned.txt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extracting the references cited in the key-papers and convert them usinf the same approach as for Task 2 (</w:t>
      </w:r>
      <w:r>
        <w:rPr>
          <w:rStyle w:val="VerbatimChar"/>
        </w:rPr>
        <w:t xml:space="preserve">./Task 3/... - ref.csv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use the script in `./Task 3/References cited how often in four.qmd</w:t>
      </w:r>
    </w:p>
    <w:p>
      <w:pPr>
        <w:numPr>
          <w:ilvl w:val="0"/>
          <w:numId w:val="1004"/>
        </w:numPr>
        <w:pStyle w:val="Compact"/>
      </w:pPr>
      <w:r>
        <w:t xml:space="preserve">resulting files are saved in</w:t>
      </w:r>
      <w:r>
        <w:t xml:space="preserve"> </w:t>
      </w:r>
      <w:r>
        <w:rPr>
          <w:rStyle w:val="VerbatimChar"/>
        </w:rPr>
        <w:t xml:space="preserve">./Task 3/... - citation occurances.csv</w:t>
      </w:r>
      <w:r>
        <w:t xml:space="preserve">. The columns are: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first Number</w:t>
      </w:r>
      <w:r>
        <w:t xml:space="preserve">: Internal number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ref</w:t>
      </w:r>
      <w:r>
        <w:t xml:space="preserve">: Reference number of the cited reference in the key-paper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Freq</w:t>
      </w:r>
      <w:r>
        <w:t xml:space="preserve">: Number of times the reference is cited in the key-paper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citation</w:t>
      </w:r>
      <w:r>
        <w:t xml:space="preserve">: The complete citation of the reference</w:t>
      </w:r>
    </w:p>
    <w:p>
      <w:pPr>
        <w:pStyle w:val="FirstParagraph"/>
      </w:pPr>
      <w:r>
        <w:t xml:space="preserve">## Task 4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global importance</w:t>
      </w:r>
      <w:r>
        <w:t xml:space="preserve"> </w:t>
      </w:r>
      <w:r>
        <w:t xml:space="preserve">is determined by counting the number of times a reference is cited in a key-paper.</w:t>
      </w:r>
      <w:r>
        <w:t xml:space="preserve"> </w:t>
      </w:r>
      <w:r>
        <w:t xml:space="preserve">For this, an automated script is required that automatically reads the number of times cited.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rintze.zelle.me/ref-extracto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rintze.zelle.me/ref-extrac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2023-07-13T07:22:03Z</dcterms:created>
  <dcterms:modified xsi:type="dcterms:W3CDTF">2023-07-13T07:22:03Z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