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4FC5E" w14:textId="421EE855" w:rsidR="006001B6" w:rsidRPr="00DD3F88" w:rsidRDefault="006001B6" w:rsidP="006001B6">
      <w:pPr>
        <w:pStyle w:val="CH1"/>
        <w:tabs>
          <w:tab w:val="left" w:pos="142"/>
          <w:tab w:val="left" w:pos="624"/>
          <w:tab w:val="left" w:pos="1871"/>
          <w:tab w:val="left" w:pos="2495"/>
          <w:tab w:val="left" w:pos="3119"/>
        </w:tabs>
        <w:ind w:left="624" w:firstLine="0"/>
        <w:rPr>
          <w:rFonts w:eastAsia="Calibri"/>
          <w:lang w:val="en-GB"/>
        </w:rPr>
      </w:pPr>
      <w:r>
        <w:rPr>
          <w:rFonts w:eastAsia="Calibri"/>
          <w:lang w:val="en-GB"/>
        </w:rPr>
        <w:t xml:space="preserve">2.4 </w:t>
      </w:r>
      <w:r w:rsidRPr="00DD3F88">
        <w:rPr>
          <w:rFonts w:eastAsia="Calibri"/>
          <w:lang w:val="en-GB"/>
        </w:rPr>
        <w:t>Stage 4: Use of the assessment findings</w:t>
      </w:r>
    </w:p>
    <w:p w14:paraId="76A26F06" w14:textId="77777777" w:rsidR="006001B6" w:rsidRPr="00C81B4E" w:rsidRDefault="006001B6" w:rsidP="006001B6">
      <w:pPr>
        <w:pStyle w:val="CH1"/>
        <w:tabs>
          <w:tab w:val="left" w:pos="142"/>
          <w:tab w:val="left" w:pos="624"/>
          <w:tab w:val="left" w:pos="1871"/>
          <w:tab w:val="left" w:pos="2495"/>
          <w:tab w:val="left" w:pos="3119"/>
        </w:tabs>
        <w:spacing w:before="0"/>
        <w:ind w:left="624" w:firstLine="0"/>
        <w:rPr>
          <w:rFonts w:eastAsia="Calibri"/>
          <w:lang w:val="en-GB"/>
        </w:rPr>
      </w:pPr>
      <w:r w:rsidRPr="00C81B4E">
        <w:rPr>
          <w:rFonts w:eastAsia="Calibri"/>
          <w:sz w:val="24"/>
          <w:szCs w:val="24"/>
          <w:lang w:val="en-GB"/>
        </w:rPr>
        <w:t>2.4.1</w:t>
      </w:r>
      <w:r w:rsidRPr="00C81B4E">
        <w:rPr>
          <w:rFonts w:eastAsia="Calibri"/>
          <w:sz w:val="24"/>
          <w:szCs w:val="24"/>
          <w:lang w:val="en-GB"/>
        </w:rPr>
        <w:tab/>
        <w:t>Outreach and support for use</w:t>
      </w:r>
    </w:p>
    <w:p w14:paraId="508A20F4" w14:textId="77777777" w:rsidR="006001B6" w:rsidRPr="00DD3F88" w:rsidRDefault="006001B6" w:rsidP="006001B6">
      <w:pPr>
        <w:tabs>
          <w:tab w:val="left" w:pos="624"/>
          <w:tab w:val="left" w:pos="1871"/>
          <w:tab w:val="left" w:pos="2495"/>
          <w:tab w:val="left" w:pos="3119"/>
        </w:tabs>
        <w:spacing w:after="120"/>
        <w:ind w:left="1247"/>
        <w:rPr>
          <w:rFonts w:eastAsia="Calibri"/>
          <w:lang w:val="en-GB"/>
        </w:rPr>
      </w:pPr>
      <w:r w:rsidRPr="00DD3F88">
        <w:rPr>
          <w:rFonts w:asciiTheme="majorBidi" w:eastAsia="Calibri" w:hAnsiTheme="majorBidi" w:cstheme="majorBidi"/>
          <w:lang w:val="en-GB"/>
        </w:rPr>
        <w:t>The release of the assessment report</w:t>
      </w:r>
      <w:r>
        <w:rPr>
          <w:rFonts w:asciiTheme="majorBidi" w:eastAsia="Calibri" w:hAnsiTheme="majorBidi" w:cstheme="majorBidi"/>
          <w:lang w:val="en-GB"/>
        </w:rPr>
        <w:t>,</w:t>
      </w:r>
      <w:r w:rsidRPr="00DD3F88">
        <w:rPr>
          <w:rFonts w:asciiTheme="majorBidi" w:eastAsia="Calibri" w:hAnsiTheme="majorBidi" w:cstheme="majorBidi"/>
          <w:lang w:val="en-GB"/>
        </w:rPr>
        <w:t xml:space="preserve"> including </w:t>
      </w:r>
      <w:r>
        <w:rPr>
          <w:rFonts w:asciiTheme="majorBidi" w:eastAsia="Calibri" w:hAnsiTheme="majorBidi" w:cstheme="majorBidi"/>
          <w:lang w:val="en-GB"/>
        </w:rPr>
        <w:t xml:space="preserve">the </w:t>
      </w:r>
      <w:r w:rsidRPr="00DD3F88">
        <w:rPr>
          <w:rFonts w:asciiTheme="majorBidi" w:eastAsia="Calibri" w:hAnsiTheme="majorBidi" w:cstheme="majorBidi"/>
          <w:lang w:val="en-GB"/>
        </w:rPr>
        <w:t xml:space="preserve">front matter (preface), the SPM, the chapters and </w:t>
      </w:r>
      <w:r>
        <w:rPr>
          <w:rFonts w:asciiTheme="majorBidi" w:eastAsia="Calibri" w:hAnsiTheme="majorBidi" w:cstheme="majorBidi"/>
          <w:lang w:val="en-GB"/>
        </w:rPr>
        <w:t xml:space="preserve">the </w:t>
      </w:r>
      <w:r w:rsidRPr="00DD3F88">
        <w:rPr>
          <w:rFonts w:asciiTheme="majorBidi" w:eastAsia="Calibri" w:hAnsiTheme="majorBidi" w:cstheme="majorBidi"/>
          <w:lang w:val="en-GB"/>
        </w:rPr>
        <w:t>back matter (annexes)</w:t>
      </w:r>
      <w:r>
        <w:rPr>
          <w:rFonts w:asciiTheme="majorBidi" w:eastAsia="Calibri" w:hAnsiTheme="majorBidi" w:cstheme="majorBidi"/>
          <w:lang w:val="en-GB"/>
        </w:rPr>
        <w:t>,</w:t>
      </w:r>
      <w:r w:rsidRPr="00DD3F88">
        <w:rPr>
          <w:rFonts w:asciiTheme="majorBidi" w:eastAsia="Calibri" w:hAnsiTheme="majorBidi" w:cstheme="majorBidi"/>
          <w:lang w:val="en-GB"/>
        </w:rPr>
        <w:t xml:space="preserve"> is supported by a communication strategy. The communication strategy will be developed by the assessment </w:t>
      </w:r>
      <w:r>
        <w:rPr>
          <w:rFonts w:asciiTheme="majorBidi" w:eastAsia="Calibri" w:hAnsiTheme="majorBidi" w:cstheme="majorBidi"/>
          <w:lang w:val="en-GB"/>
        </w:rPr>
        <w:t>m</w:t>
      </w:r>
      <w:r w:rsidRPr="00DD3F88">
        <w:rPr>
          <w:rFonts w:asciiTheme="majorBidi" w:eastAsia="Calibri" w:hAnsiTheme="majorBidi" w:cstheme="majorBidi"/>
          <w:lang w:val="en-GB"/>
        </w:rPr>
        <w:t xml:space="preserve">anagement </w:t>
      </w:r>
      <w:r>
        <w:rPr>
          <w:rFonts w:asciiTheme="majorBidi" w:eastAsia="Calibri" w:hAnsiTheme="majorBidi" w:cstheme="majorBidi"/>
          <w:lang w:val="en-GB"/>
        </w:rPr>
        <w:t>c</w:t>
      </w:r>
      <w:r w:rsidRPr="00DD3F88">
        <w:rPr>
          <w:rFonts w:asciiTheme="majorBidi" w:eastAsia="Calibri" w:hAnsiTheme="majorBidi" w:cstheme="majorBidi"/>
          <w:lang w:val="en-GB"/>
        </w:rPr>
        <w:t>ommittee and approved by the Bureau. The aim of the</w:t>
      </w:r>
      <w:r w:rsidRPr="00DD3F88">
        <w:rPr>
          <w:rFonts w:eastAsia="Calibri"/>
          <w:lang w:val="en-GB"/>
        </w:rPr>
        <w:t xml:space="preserve"> communication strategy is to ensure that the assessment results are appropriately communicated and </w:t>
      </w:r>
      <w:r>
        <w:rPr>
          <w:rFonts w:eastAsia="Calibri"/>
          <w:lang w:val="en-GB"/>
        </w:rPr>
        <w:t xml:space="preserve">that they </w:t>
      </w:r>
      <w:r w:rsidRPr="00DD3F88">
        <w:rPr>
          <w:rFonts w:eastAsia="Calibri"/>
          <w:lang w:val="en-GB"/>
        </w:rPr>
        <w:t>reach the target audiences.</w:t>
      </w:r>
    </w:p>
    <w:p w14:paraId="5E1F2082" w14:textId="77777777" w:rsidR="006001B6" w:rsidRPr="00DD3F88" w:rsidRDefault="006001B6" w:rsidP="006001B6">
      <w:pPr>
        <w:tabs>
          <w:tab w:val="left" w:pos="624"/>
          <w:tab w:val="left" w:pos="1871"/>
          <w:tab w:val="left" w:pos="2495"/>
          <w:tab w:val="left" w:pos="3119"/>
        </w:tabs>
        <w:spacing w:after="120"/>
        <w:ind w:left="1247"/>
        <w:rPr>
          <w:rFonts w:eastAsia="Calibri"/>
          <w:lang w:val="en-GB"/>
        </w:rPr>
      </w:pPr>
      <w:r w:rsidRPr="00DD3F88">
        <w:rPr>
          <w:rFonts w:eastAsia="Calibri"/>
          <w:lang w:val="en-GB"/>
        </w:rPr>
        <w:t>The communication strategy may include the following steps:</w:t>
      </w:r>
    </w:p>
    <w:p w14:paraId="6B2EFC55" w14:textId="77777777" w:rsidR="006001B6" w:rsidRPr="00DD3F88" w:rsidRDefault="006001B6" w:rsidP="006001B6">
      <w:pPr>
        <w:pStyle w:val="NormalNonumber"/>
        <w:numPr>
          <w:ilvl w:val="0"/>
          <w:numId w:val="1"/>
        </w:numPr>
        <w:tabs>
          <w:tab w:val="clear" w:pos="1814"/>
          <w:tab w:val="clear" w:pos="2381"/>
          <w:tab w:val="clear" w:pos="2948"/>
          <w:tab w:val="clear" w:pos="3515"/>
          <w:tab w:val="clear" w:pos="4082"/>
          <w:tab w:val="left" w:pos="624"/>
          <w:tab w:val="left" w:pos="1871"/>
          <w:tab w:val="left" w:pos="2495"/>
          <w:tab w:val="left" w:pos="3119"/>
        </w:tabs>
        <w:ind w:left="1871" w:hanging="624"/>
        <w:rPr>
          <w:rFonts w:eastAsia="Calibri"/>
          <w:lang w:val="en-GB"/>
        </w:rPr>
      </w:pPr>
      <w:r>
        <w:rPr>
          <w:rFonts w:eastAsia="Calibri"/>
          <w:lang w:val="en-GB"/>
        </w:rPr>
        <w:t>S</w:t>
      </w:r>
      <w:r w:rsidRPr="00DD3F88">
        <w:rPr>
          <w:rFonts w:eastAsia="Calibri"/>
          <w:lang w:val="en-GB"/>
        </w:rPr>
        <w:t>election and hiring of a media consultant</w:t>
      </w:r>
      <w:r>
        <w:rPr>
          <w:rFonts w:eastAsia="Calibri"/>
          <w:lang w:val="en-GB"/>
        </w:rPr>
        <w:t>s</w:t>
      </w:r>
      <w:r w:rsidRPr="00DD3F88">
        <w:rPr>
          <w:rFonts w:eastAsia="Calibri"/>
          <w:lang w:val="en-GB"/>
        </w:rPr>
        <w:t xml:space="preserve"> to assist with</w:t>
      </w:r>
      <w:r>
        <w:rPr>
          <w:rFonts w:eastAsia="Calibri"/>
          <w:lang w:val="en-GB"/>
        </w:rPr>
        <w:t xml:space="preserve"> the</w:t>
      </w:r>
      <w:r w:rsidRPr="00DD3F88">
        <w:rPr>
          <w:rFonts w:eastAsia="Calibri"/>
          <w:lang w:val="en-GB"/>
        </w:rPr>
        <w:t xml:space="preserve"> implementation of the strategy</w:t>
      </w:r>
      <w:r>
        <w:rPr>
          <w:rFonts w:eastAsia="Calibri"/>
          <w:lang w:val="en-GB"/>
        </w:rPr>
        <w:t>.</w:t>
      </w:r>
    </w:p>
    <w:p w14:paraId="0493324F" w14:textId="77777777" w:rsidR="006001B6" w:rsidRPr="00DD3F88" w:rsidRDefault="006001B6" w:rsidP="006001B6">
      <w:pPr>
        <w:pStyle w:val="NormalNonumber"/>
        <w:numPr>
          <w:ilvl w:val="0"/>
          <w:numId w:val="1"/>
        </w:numPr>
        <w:tabs>
          <w:tab w:val="clear" w:pos="1814"/>
          <w:tab w:val="clear" w:pos="2381"/>
          <w:tab w:val="clear" w:pos="2948"/>
          <w:tab w:val="clear" w:pos="3515"/>
          <w:tab w:val="clear" w:pos="4082"/>
          <w:tab w:val="left" w:pos="624"/>
          <w:tab w:val="left" w:pos="1871"/>
          <w:tab w:val="left" w:pos="2495"/>
          <w:tab w:val="left" w:pos="3119"/>
        </w:tabs>
        <w:ind w:left="1871" w:hanging="624"/>
        <w:rPr>
          <w:rFonts w:eastAsia="Calibri"/>
          <w:lang w:val="en-GB"/>
        </w:rPr>
      </w:pPr>
      <w:r>
        <w:rPr>
          <w:rFonts w:eastAsia="Calibri"/>
          <w:lang w:val="en-GB"/>
        </w:rPr>
        <w:t>I</w:t>
      </w:r>
      <w:r w:rsidRPr="00DD3F88">
        <w:rPr>
          <w:rFonts w:eastAsia="Calibri"/>
          <w:lang w:val="en-GB"/>
        </w:rPr>
        <w:t>dentification of the main target audiences related to the assessment</w:t>
      </w:r>
      <w:r>
        <w:rPr>
          <w:rFonts w:eastAsia="Calibri"/>
          <w:lang w:val="en-GB"/>
        </w:rPr>
        <w:t>.</w:t>
      </w:r>
    </w:p>
    <w:p w14:paraId="1DFDA3B1" w14:textId="77777777" w:rsidR="006001B6" w:rsidRPr="00DD3F88" w:rsidRDefault="006001B6" w:rsidP="006001B6">
      <w:pPr>
        <w:pStyle w:val="NormalNonumber"/>
        <w:numPr>
          <w:ilvl w:val="0"/>
          <w:numId w:val="1"/>
        </w:numPr>
        <w:tabs>
          <w:tab w:val="clear" w:pos="1814"/>
          <w:tab w:val="clear" w:pos="2381"/>
          <w:tab w:val="clear" w:pos="2948"/>
          <w:tab w:val="clear" w:pos="3515"/>
          <w:tab w:val="clear" w:pos="4082"/>
          <w:tab w:val="left" w:pos="624"/>
          <w:tab w:val="left" w:pos="1871"/>
          <w:tab w:val="left" w:pos="2495"/>
          <w:tab w:val="left" w:pos="3119"/>
        </w:tabs>
        <w:ind w:left="1871" w:hanging="624"/>
        <w:rPr>
          <w:rFonts w:eastAsia="Calibri"/>
          <w:lang w:val="en-GB"/>
        </w:rPr>
      </w:pPr>
      <w:r>
        <w:rPr>
          <w:rFonts w:eastAsia="Calibri"/>
          <w:lang w:val="en-GB"/>
        </w:rPr>
        <w:t>F</w:t>
      </w:r>
      <w:r w:rsidRPr="00DD3F88">
        <w:rPr>
          <w:rFonts w:eastAsia="Calibri"/>
          <w:lang w:val="en-GB"/>
        </w:rPr>
        <w:t>inali</w:t>
      </w:r>
      <w:r>
        <w:rPr>
          <w:rFonts w:eastAsia="Calibri"/>
          <w:lang w:val="en-GB"/>
        </w:rPr>
        <w:t>z</w:t>
      </w:r>
      <w:r w:rsidRPr="00DD3F88">
        <w:rPr>
          <w:rFonts w:eastAsia="Calibri"/>
          <w:lang w:val="en-GB"/>
        </w:rPr>
        <w:t>ation of the communication strategy for the assessment with the media consultant, taking into account the IPBES communication, outreach and stakeholder engagement strategy and the needs of the relevant target audiences and stakeholders</w:t>
      </w:r>
      <w:r>
        <w:rPr>
          <w:rFonts w:eastAsia="Calibri"/>
          <w:lang w:val="en-GB"/>
        </w:rPr>
        <w:t>.</w:t>
      </w:r>
    </w:p>
    <w:p w14:paraId="267D9079" w14:textId="77777777" w:rsidR="006001B6" w:rsidRPr="00DD3F88" w:rsidRDefault="006001B6" w:rsidP="006001B6">
      <w:pPr>
        <w:pStyle w:val="NormalNonumber"/>
        <w:numPr>
          <w:ilvl w:val="0"/>
          <w:numId w:val="1"/>
        </w:numPr>
        <w:tabs>
          <w:tab w:val="clear" w:pos="1814"/>
          <w:tab w:val="clear" w:pos="2381"/>
          <w:tab w:val="clear" w:pos="2948"/>
          <w:tab w:val="clear" w:pos="3515"/>
          <w:tab w:val="clear" w:pos="4082"/>
          <w:tab w:val="left" w:pos="624"/>
          <w:tab w:val="left" w:pos="1871"/>
          <w:tab w:val="left" w:pos="2495"/>
          <w:tab w:val="left" w:pos="3119"/>
        </w:tabs>
        <w:ind w:left="1871" w:hanging="624"/>
        <w:rPr>
          <w:rFonts w:eastAsia="Calibri"/>
          <w:lang w:val="en-GB"/>
        </w:rPr>
      </w:pPr>
      <w:r>
        <w:rPr>
          <w:rFonts w:eastAsia="Calibri"/>
          <w:lang w:val="en-GB"/>
        </w:rPr>
        <w:t>C</w:t>
      </w:r>
      <w:r w:rsidRPr="00DD3F88">
        <w:rPr>
          <w:rFonts w:eastAsia="Calibri"/>
          <w:lang w:val="en-GB"/>
        </w:rPr>
        <w:t>ommunication ahead of the Plenary session where the SPM will be accepted</w:t>
      </w:r>
      <w:r>
        <w:rPr>
          <w:rFonts w:eastAsia="Calibri"/>
          <w:lang w:val="en-GB"/>
        </w:rPr>
        <w:t>.</w:t>
      </w:r>
    </w:p>
    <w:p w14:paraId="3A1C3D43" w14:textId="77777777" w:rsidR="006001B6" w:rsidRPr="00DD3F88" w:rsidRDefault="006001B6" w:rsidP="006001B6">
      <w:pPr>
        <w:pStyle w:val="NormalNonumber"/>
        <w:numPr>
          <w:ilvl w:val="0"/>
          <w:numId w:val="1"/>
        </w:numPr>
        <w:tabs>
          <w:tab w:val="clear" w:pos="1814"/>
          <w:tab w:val="clear" w:pos="2381"/>
          <w:tab w:val="clear" w:pos="2948"/>
          <w:tab w:val="clear" w:pos="3515"/>
          <w:tab w:val="clear" w:pos="4082"/>
          <w:tab w:val="left" w:pos="624"/>
          <w:tab w:val="left" w:pos="1871"/>
          <w:tab w:val="left" w:pos="2495"/>
          <w:tab w:val="left" w:pos="3119"/>
        </w:tabs>
        <w:ind w:left="1871" w:hanging="624"/>
        <w:rPr>
          <w:rFonts w:eastAsia="Calibri"/>
          <w:lang w:val="en-GB"/>
        </w:rPr>
      </w:pPr>
      <w:r>
        <w:rPr>
          <w:rFonts w:eastAsia="Calibri"/>
          <w:lang w:val="en-GB"/>
        </w:rPr>
        <w:t>P</w:t>
      </w:r>
      <w:r w:rsidRPr="00DD3F88">
        <w:rPr>
          <w:rFonts w:eastAsia="Calibri"/>
          <w:lang w:val="en-GB"/>
        </w:rPr>
        <w:t>reparation of press releases</w:t>
      </w:r>
      <w:r>
        <w:rPr>
          <w:rFonts w:eastAsia="Calibri"/>
          <w:lang w:val="en-GB"/>
        </w:rPr>
        <w:t>.</w:t>
      </w:r>
      <w:r w:rsidRPr="00DD3F88">
        <w:rPr>
          <w:rFonts w:eastAsia="Calibri"/>
          <w:lang w:val="en-GB"/>
        </w:rPr>
        <w:t xml:space="preserve"> </w:t>
      </w:r>
    </w:p>
    <w:p w14:paraId="6866FBDE" w14:textId="77777777" w:rsidR="006001B6" w:rsidRPr="00DD3F88" w:rsidRDefault="006001B6" w:rsidP="006001B6">
      <w:pPr>
        <w:pStyle w:val="NormalNonumber"/>
        <w:numPr>
          <w:ilvl w:val="0"/>
          <w:numId w:val="1"/>
        </w:numPr>
        <w:tabs>
          <w:tab w:val="clear" w:pos="1814"/>
          <w:tab w:val="clear" w:pos="2381"/>
          <w:tab w:val="clear" w:pos="2948"/>
          <w:tab w:val="clear" w:pos="3515"/>
          <w:tab w:val="clear" w:pos="4082"/>
          <w:tab w:val="left" w:pos="624"/>
          <w:tab w:val="left" w:pos="1871"/>
          <w:tab w:val="left" w:pos="2495"/>
          <w:tab w:val="left" w:pos="3119"/>
        </w:tabs>
        <w:ind w:left="1871" w:hanging="624"/>
        <w:rPr>
          <w:rFonts w:eastAsia="Calibri"/>
          <w:lang w:val="en-GB"/>
        </w:rPr>
      </w:pPr>
      <w:r>
        <w:rPr>
          <w:rFonts w:eastAsia="Calibri"/>
          <w:lang w:val="en-GB"/>
        </w:rPr>
        <w:t>P</w:t>
      </w:r>
      <w:r w:rsidRPr="00DD3F88">
        <w:rPr>
          <w:rFonts w:eastAsia="Calibri"/>
          <w:lang w:val="en-GB"/>
        </w:rPr>
        <w:t>reparation of other media materials (including press kit</w:t>
      </w:r>
      <w:r>
        <w:rPr>
          <w:rFonts w:eastAsia="Calibri"/>
          <w:lang w:val="en-GB"/>
        </w:rPr>
        <w:t>s</w:t>
      </w:r>
      <w:r w:rsidRPr="00DD3F88">
        <w:rPr>
          <w:rFonts w:eastAsia="Calibri"/>
          <w:lang w:val="en-GB"/>
        </w:rPr>
        <w:t>, mini videos explaining the SPM content</w:t>
      </w:r>
      <w:r>
        <w:rPr>
          <w:rFonts w:eastAsia="Calibri"/>
          <w:lang w:val="en-GB"/>
        </w:rPr>
        <w:t xml:space="preserve"> and</w:t>
      </w:r>
      <w:r w:rsidRPr="00DD3F88">
        <w:rPr>
          <w:rFonts w:eastAsia="Calibri"/>
          <w:lang w:val="en-GB"/>
        </w:rPr>
        <w:t xml:space="preserve"> PowerPoint presentation</w:t>
      </w:r>
      <w:r>
        <w:rPr>
          <w:rFonts w:eastAsia="Calibri"/>
          <w:lang w:val="en-GB"/>
        </w:rPr>
        <w:t>s</w:t>
      </w:r>
      <w:r w:rsidRPr="00DD3F88">
        <w:rPr>
          <w:rFonts w:eastAsia="Calibri"/>
          <w:lang w:val="en-GB"/>
        </w:rPr>
        <w:t xml:space="preserve"> </w:t>
      </w:r>
      <w:r>
        <w:rPr>
          <w:rFonts w:eastAsia="Calibri"/>
          <w:lang w:val="en-GB"/>
        </w:rPr>
        <w:t>on</w:t>
      </w:r>
      <w:r w:rsidRPr="00DD3F88">
        <w:rPr>
          <w:rFonts w:eastAsia="Calibri"/>
          <w:lang w:val="en-GB"/>
        </w:rPr>
        <w:t xml:space="preserve"> the outcome</w:t>
      </w:r>
      <w:r>
        <w:rPr>
          <w:rFonts w:eastAsia="Calibri"/>
          <w:lang w:val="en-GB"/>
        </w:rPr>
        <w:t>s</w:t>
      </w:r>
      <w:r w:rsidRPr="00DD3F88">
        <w:rPr>
          <w:rFonts w:eastAsia="Calibri"/>
          <w:lang w:val="en-GB"/>
        </w:rPr>
        <w:t xml:space="preserve"> of the assessment)</w:t>
      </w:r>
      <w:r>
        <w:rPr>
          <w:rFonts w:eastAsia="Calibri"/>
          <w:lang w:val="en-GB"/>
        </w:rPr>
        <w:t>.</w:t>
      </w:r>
    </w:p>
    <w:p w14:paraId="51D96D42" w14:textId="77777777" w:rsidR="006001B6" w:rsidRPr="00DD3F88" w:rsidRDefault="006001B6" w:rsidP="006001B6">
      <w:pPr>
        <w:pStyle w:val="NormalNonumber"/>
        <w:numPr>
          <w:ilvl w:val="0"/>
          <w:numId w:val="2"/>
        </w:numPr>
        <w:tabs>
          <w:tab w:val="clear" w:pos="1814"/>
          <w:tab w:val="clear" w:pos="2381"/>
          <w:tab w:val="clear" w:pos="2948"/>
          <w:tab w:val="clear" w:pos="3515"/>
          <w:tab w:val="clear" w:pos="4082"/>
          <w:tab w:val="left" w:pos="624"/>
          <w:tab w:val="left" w:pos="1871"/>
          <w:tab w:val="left" w:pos="2495"/>
          <w:tab w:val="left" w:pos="3119"/>
        </w:tabs>
        <w:ind w:left="1871" w:hanging="624"/>
        <w:rPr>
          <w:rFonts w:eastAsia="Calibri"/>
          <w:lang w:val="en-GB"/>
        </w:rPr>
      </w:pPr>
      <w:r>
        <w:rPr>
          <w:rFonts w:eastAsia="Calibri"/>
          <w:lang w:val="en-GB"/>
        </w:rPr>
        <w:t>M</w:t>
      </w:r>
      <w:r w:rsidRPr="00DD3F88">
        <w:rPr>
          <w:rFonts w:eastAsia="Calibri"/>
          <w:lang w:val="en-GB"/>
        </w:rPr>
        <w:t>obili</w:t>
      </w:r>
      <w:r>
        <w:rPr>
          <w:rFonts w:eastAsia="Calibri"/>
          <w:lang w:val="en-GB"/>
        </w:rPr>
        <w:t>z</w:t>
      </w:r>
      <w:r w:rsidRPr="00DD3F88">
        <w:rPr>
          <w:rFonts w:eastAsia="Calibri"/>
          <w:lang w:val="en-GB"/>
        </w:rPr>
        <w:t>ation of all partners and stakeholders to help promote the assessment reports and expand their overall reach and impact</w:t>
      </w:r>
      <w:r>
        <w:rPr>
          <w:rFonts w:eastAsia="Calibri"/>
          <w:lang w:val="en-GB"/>
        </w:rPr>
        <w:t>.</w:t>
      </w:r>
    </w:p>
    <w:p w14:paraId="1D414F40" w14:textId="77777777" w:rsidR="006001B6" w:rsidRPr="00DD3F88" w:rsidRDefault="006001B6" w:rsidP="006001B6">
      <w:pPr>
        <w:pStyle w:val="NormalNonumber"/>
        <w:numPr>
          <w:ilvl w:val="0"/>
          <w:numId w:val="2"/>
        </w:numPr>
        <w:tabs>
          <w:tab w:val="clear" w:pos="1814"/>
          <w:tab w:val="clear" w:pos="2381"/>
          <w:tab w:val="clear" w:pos="2948"/>
          <w:tab w:val="clear" w:pos="3515"/>
          <w:tab w:val="clear" w:pos="4082"/>
          <w:tab w:val="left" w:pos="624"/>
          <w:tab w:val="left" w:pos="1871"/>
          <w:tab w:val="left" w:pos="2495"/>
          <w:tab w:val="left" w:pos="3119"/>
        </w:tabs>
        <w:ind w:left="1871" w:hanging="624"/>
        <w:rPr>
          <w:rFonts w:eastAsia="Calibri"/>
          <w:lang w:val="en-GB"/>
        </w:rPr>
      </w:pPr>
      <w:r>
        <w:rPr>
          <w:rFonts w:eastAsia="Calibri"/>
          <w:lang w:val="en-GB"/>
        </w:rPr>
        <w:t>W</w:t>
      </w:r>
      <w:r w:rsidRPr="00DD3F88">
        <w:rPr>
          <w:rFonts w:eastAsia="Calibri"/>
          <w:lang w:val="en-GB"/>
        </w:rPr>
        <w:t xml:space="preserve">ebinar with key journalists ahead of </w:t>
      </w:r>
      <w:r>
        <w:rPr>
          <w:rFonts w:eastAsia="Calibri"/>
          <w:lang w:val="en-GB"/>
        </w:rPr>
        <w:t xml:space="preserve">the </w:t>
      </w:r>
      <w:r w:rsidRPr="00DD3F88">
        <w:rPr>
          <w:rFonts w:eastAsia="Calibri"/>
          <w:lang w:val="en-GB"/>
        </w:rPr>
        <w:t>Plenary</w:t>
      </w:r>
      <w:r>
        <w:rPr>
          <w:rFonts w:eastAsia="Calibri"/>
          <w:lang w:val="en-GB"/>
        </w:rPr>
        <w:t>.</w:t>
      </w:r>
    </w:p>
    <w:p w14:paraId="6D8A0EA8" w14:textId="77777777" w:rsidR="006001B6" w:rsidRPr="00DD3F88" w:rsidRDefault="006001B6" w:rsidP="006001B6">
      <w:pPr>
        <w:pStyle w:val="NormalNonumber"/>
        <w:numPr>
          <w:ilvl w:val="0"/>
          <w:numId w:val="2"/>
        </w:numPr>
        <w:tabs>
          <w:tab w:val="clear" w:pos="1814"/>
          <w:tab w:val="clear" w:pos="2381"/>
          <w:tab w:val="clear" w:pos="2948"/>
          <w:tab w:val="clear" w:pos="3515"/>
          <w:tab w:val="clear" w:pos="4082"/>
          <w:tab w:val="left" w:pos="624"/>
          <w:tab w:val="left" w:pos="1871"/>
          <w:tab w:val="left" w:pos="2495"/>
          <w:tab w:val="left" w:pos="3119"/>
        </w:tabs>
        <w:ind w:left="1871" w:hanging="624"/>
        <w:rPr>
          <w:rFonts w:eastAsia="Calibri"/>
          <w:lang w:val="en-GB"/>
        </w:rPr>
      </w:pPr>
      <w:r>
        <w:rPr>
          <w:rFonts w:eastAsia="Calibri"/>
          <w:lang w:val="en-GB"/>
        </w:rPr>
        <w:t>O</w:t>
      </w:r>
      <w:r w:rsidRPr="00DD3F88">
        <w:rPr>
          <w:rFonts w:eastAsia="Calibri"/>
          <w:lang w:val="en-GB"/>
        </w:rPr>
        <w:t>utreach with social media</w:t>
      </w:r>
      <w:r>
        <w:rPr>
          <w:rFonts w:eastAsia="Calibri"/>
          <w:lang w:val="en-GB"/>
        </w:rPr>
        <w:t>.</w:t>
      </w:r>
    </w:p>
    <w:p w14:paraId="64613D03" w14:textId="77777777" w:rsidR="006001B6" w:rsidRPr="00DD3F88" w:rsidRDefault="006001B6" w:rsidP="006001B6">
      <w:pPr>
        <w:pStyle w:val="NormalNonumber"/>
        <w:numPr>
          <w:ilvl w:val="0"/>
          <w:numId w:val="2"/>
        </w:numPr>
        <w:tabs>
          <w:tab w:val="clear" w:pos="1814"/>
          <w:tab w:val="clear" w:pos="2381"/>
          <w:tab w:val="clear" w:pos="2948"/>
          <w:tab w:val="clear" w:pos="3515"/>
          <w:tab w:val="clear" w:pos="4082"/>
          <w:tab w:val="left" w:pos="624"/>
          <w:tab w:val="left" w:pos="1871"/>
          <w:tab w:val="left" w:pos="2495"/>
          <w:tab w:val="left" w:pos="3119"/>
        </w:tabs>
        <w:ind w:left="1871" w:hanging="624"/>
        <w:rPr>
          <w:rFonts w:eastAsia="Calibri"/>
          <w:lang w:val="en-GB"/>
        </w:rPr>
      </w:pPr>
      <w:r>
        <w:rPr>
          <w:rFonts w:eastAsia="Calibri"/>
          <w:lang w:val="en-GB"/>
        </w:rPr>
        <w:t>M</w:t>
      </w:r>
      <w:r w:rsidRPr="00DD3F88">
        <w:rPr>
          <w:rFonts w:eastAsia="Calibri"/>
          <w:lang w:val="en-GB"/>
        </w:rPr>
        <w:t>edia training for IPBES authors,</w:t>
      </w:r>
      <w:r>
        <w:rPr>
          <w:rFonts w:eastAsia="Calibri"/>
          <w:lang w:val="en-GB"/>
        </w:rPr>
        <w:t xml:space="preserve"> as well as</w:t>
      </w:r>
      <w:r w:rsidRPr="00DD3F88">
        <w:rPr>
          <w:rFonts w:eastAsia="Calibri"/>
          <w:lang w:val="en-GB"/>
        </w:rPr>
        <w:t xml:space="preserve"> selected MEP, Bureau and secretariat staff</w:t>
      </w:r>
      <w:r>
        <w:rPr>
          <w:rFonts w:eastAsia="Calibri"/>
          <w:lang w:val="en-GB"/>
        </w:rPr>
        <w:t>.</w:t>
      </w:r>
    </w:p>
    <w:p w14:paraId="016E9135" w14:textId="77777777" w:rsidR="006001B6" w:rsidRPr="00DD3F88" w:rsidRDefault="006001B6" w:rsidP="006001B6">
      <w:pPr>
        <w:pStyle w:val="NormalNonumber"/>
        <w:numPr>
          <w:ilvl w:val="0"/>
          <w:numId w:val="2"/>
        </w:numPr>
        <w:tabs>
          <w:tab w:val="clear" w:pos="1814"/>
          <w:tab w:val="clear" w:pos="2381"/>
          <w:tab w:val="clear" w:pos="2948"/>
          <w:tab w:val="clear" w:pos="3515"/>
          <w:tab w:val="clear" w:pos="4082"/>
          <w:tab w:val="left" w:pos="624"/>
          <w:tab w:val="left" w:pos="1871"/>
          <w:tab w:val="left" w:pos="2495"/>
          <w:tab w:val="left" w:pos="3119"/>
        </w:tabs>
        <w:ind w:left="1871" w:hanging="624"/>
        <w:rPr>
          <w:rFonts w:eastAsia="Calibri"/>
          <w:lang w:val="en-GB"/>
        </w:rPr>
      </w:pPr>
      <w:r>
        <w:rPr>
          <w:rFonts w:eastAsia="Calibri"/>
          <w:lang w:val="en-GB"/>
        </w:rPr>
        <w:t>C</w:t>
      </w:r>
      <w:r w:rsidRPr="00DD3F88">
        <w:rPr>
          <w:rFonts w:eastAsia="Calibri"/>
          <w:lang w:val="en-GB"/>
        </w:rPr>
        <w:t>ommunication during the Plenary</w:t>
      </w:r>
      <w:r>
        <w:rPr>
          <w:rFonts w:eastAsia="Calibri"/>
          <w:lang w:val="en-GB"/>
        </w:rPr>
        <w:t>.</w:t>
      </w:r>
    </w:p>
    <w:p w14:paraId="09C54E10" w14:textId="77777777" w:rsidR="006001B6" w:rsidRPr="00DD3F88" w:rsidRDefault="006001B6" w:rsidP="006001B6">
      <w:pPr>
        <w:pStyle w:val="NormalNonumber"/>
        <w:numPr>
          <w:ilvl w:val="0"/>
          <w:numId w:val="2"/>
        </w:numPr>
        <w:tabs>
          <w:tab w:val="clear" w:pos="1814"/>
          <w:tab w:val="clear" w:pos="2381"/>
          <w:tab w:val="clear" w:pos="2948"/>
          <w:tab w:val="clear" w:pos="3515"/>
          <w:tab w:val="clear" w:pos="4082"/>
          <w:tab w:val="left" w:pos="624"/>
          <w:tab w:val="left" w:pos="1871"/>
          <w:tab w:val="left" w:pos="2495"/>
          <w:tab w:val="left" w:pos="3119"/>
        </w:tabs>
        <w:ind w:left="1871" w:hanging="624"/>
        <w:rPr>
          <w:rFonts w:eastAsia="Calibri"/>
          <w:lang w:val="en-GB"/>
        </w:rPr>
      </w:pPr>
      <w:r>
        <w:rPr>
          <w:rFonts w:eastAsia="Calibri"/>
          <w:lang w:val="en-GB"/>
        </w:rPr>
        <w:t>P</w:t>
      </w:r>
      <w:r w:rsidRPr="00DD3F88">
        <w:rPr>
          <w:rFonts w:eastAsia="Calibri"/>
          <w:lang w:val="en-GB"/>
        </w:rPr>
        <w:t>ress conference to announce the approval of the SPM</w:t>
      </w:r>
      <w:r>
        <w:rPr>
          <w:rFonts w:eastAsia="Calibri"/>
          <w:lang w:val="en-GB"/>
        </w:rPr>
        <w:t>.</w:t>
      </w:r>
    </w:p>
    <w:p w14:paraId="71506AF1" w14:textId="77777777" w:rsidR="006001B6" w:rsidRPr="00DD3F88" w:rsidRDefault="006001B6" w:rsidP="006001B6">
      <w:pPr>
        <w:pStyle w:val="NormalNonumber"/>
        <w:numPr>
          <w:ilvl w:val="0"/>
          <w:numId w:val="2"/>
        </w:numPr>
        <w:tabs>
          <w:tab w:val="clear" w:pos="1814"/>
          <w:tab w:val="clear" w:pos="2381"/>
          <w:tab w:val="clear" w:pos="2948"/>
          <w:tab w:val="clear" w:pos="3515"/>
          <w:tab w:val="clear" w:pos="4082"/>
          <w:tab w:val="left" w:pos="624"/>
          <w:tab w:val="left" w:pos="1871"/>
          <w:tab w:val="left" w:pos="2495"/>
          <w:tab w:val="left" w:pos="3119"/>
        </w:tabs>
        <w:ind w:left="1871" w:hanging="624"/>
        <w:rPr>
          <w:rFonts w:eastAsia="Calibri"/>
          <w:lang w:val="en-GB"/>
        </w:rPr>
      </w:pPr>
      <w:r>
        <w:rPr>
          <w:rFonts w:eastAsia="Calibri"/>
          <w:lang w:val="en-GB"/>
        </w:rPr>
        <w:t>I</w:t>
      </w:r>
      <w:r w:rsidRPr="00DD3F88">
        <w:rPr>
          <w:rFonts w:eastAsia="Calibri"/>
          <w:lang w:val="en-GB"/>
        </w:rPr>
        <w:t>nterviews with press, TV</w:t>
      </w:r>
      <w:r>
        <w:rPr>
          <w:rFonts w:eastAsia="Calibri"/>
          <w:lang w:val="en-GB"/>
        </w:rPr>
        <w:t xml:space="preserve"> and</w:t>
      </w:r>
      <w:r w:rsidRPr="00DD3F88">
        <w:rPr>
          <w:rFonts w:eastAsia="Calibri"/>
          <w:lang w:val="en-GB"/>
        </w:rPr>
        <w:t xml:space="preserve"> radio in response to requests</w:t>
      </w:r>
      <w:r>
        <w:rPr>
          <w:rFonts w:eastAsia="Calibri"/>
          <w:lang w:val="en-GB"/>
        </w:rPr>
        <w:t>.</w:t>
      </w:r>
    </w:p>
    <w:p w14:paraId="35238E8F" w14:textId="77777777" w:rsidR="006001B6" w:rsidRPr="00DD3F88" w:rsidRDefault="006001B6" w:rsidP="006001B6">
      <w:pPr>
        <w:pStyle w:val="NormalNonumber"/>
        <w:numPr>
          <w:ilvl w:val="0"/>
          <w:numId w:val="2"/>
        </w:numPr>
        <w:tabs>
          <w:tab w:val="clear" w:pos="1814"/>
          <w:tab w:val="clear" w:pos="2381"/>
          <w:tab w:val="clear" w:pos="2948"/>
          <w:tab w:val="clear" w:pos="3515"/>
          <w:tab w:val="clear" w:pos="4082"/>
          <w:tab w:val="left" w:pos="624"/>
          <w:tab w:val="left" w:pos="1871"/>
          <w:tab w:val="left" w:pos="2495"/>
          <w:tab w:val="left" w:pos="3119"/>
        </w:tabs>
        <w:ind w:left="1871" w:hanging="624"/>
        <w:rPr>
          <w:rFonts w:eastAsia="Calibri"/>
          <w:lang w:val="en-GB"/>
        </w:rPr>
      </w:pPr>
      <w:r>
        <w:rPr>
          <w:rFonts w:eastAsia="Calibri"/>
          <w:lang w:val="en-GB"/>
        </w:rPr>
        <w:t>C</w:t>
      </w:r>
      <w:r w:rsidRPr="00DD3F88">
        <w:rPr>
          <w:rFonts w:eastAsia="Calibri"/>
          <w:lang w:val="en-GB"/>
        </w:rPr>
        <w:t>ommunication after the Plenary</w:t>
      </w:r>
      <w:r>
        <w:rPr>
          <w:rFonts w:eastAsia="Calibri"/>
          <w:lang w:val="en-GB"/>
        </w:rPr>
        <w:t>.</w:t>
      </w:r>
    </w:p>
    <w:p w14:paraId="3020CE81" w14:textId="77777777" w:rsidR="006001B6" w:rsidRPr="00DD3F88" w:rsidRDefault="006001B6" w:rsidP="006001B6">
      <w:pPr>
        <w:pStyle w:val="NormalNonumber"/>
        <w:numPr>
          <w:ilvl w:val="0"/>
          <w:numId w:val="2"/>
        </w:numPr>
        <w:tabs>
          <w:tab w:val="clear" w:pos="1814"/>
          <w:tab w:val="clear" w:pos="2381"/>
          <w:tab w:val="clear" w:pos="2948"/>
          <w:tab w:val="clear" w:pos="3515"/>
          <w:tab w:val="clear" w:pos="4082"/>
          <w:tab w:val="left" w:pos="624"/>
          <w:tab w:val="left" w:pos="1871"/>
          <w:tab w:val="left" w:pos="2495"/>
          <w:tab w:val="left" w:pos="3119"/>
        </w:tabs>
        <w:ind w:left="1871" w:hanging="624"/>
        <w:rPr>
          <w:rFonts w:eastAsia="Calibri"/>
          <w:lang w:val="en-GB"/>
        </w:rPr>
      </w:pPr>
      <w:r>
        <w:rPr>
          <w:rFonts w:eastAsia="Calibri"/>
          <w:lang w:val="en-GB"/>
        </w:rPr>
        <w:t>P</w:t>
      </w:r>
      <w:r w:rsidRPr="00DD3F88">
        <w:rPr>
          <w:rFonts w:eastAsia="Calibri"/>
          <w:lang w:val="en-GB"/>
        </w:rPr>
        <w:t>ublication of printed versions of the SPM and technical reports</w:t>
      </w:r>
      <w:r>
        <w:rPr>
          <w:rFonts w:eastAsia="Calibri"/>
          <w:lang w:val="en-GB"/>
        </w:rPr>
        <w:t>.</w:t>
      </w:r>
    </w:p>
    <w:p w14:paraId="759EFA6F" w14:textId="77777777" w:rsidR="006001B6" w:rsidRPr="00DD3F88" w:rsidRDefault="006001B6" w:rsidP="006001B6">
      <w:pPr>
        <w:pStyle w:val="NormalNonumber"/>
        <w:numPr>
          <w:ilvl w:val="0"/>
          <w:numId w:val="2"/>
        </w:numPr>
        <w:tabs>
          <w:tab w:val="clear" w:pos="1814"/>
          <w:tab w:val="clear" w:pos="2381"/>
          <w:tab w:val="clear" w:pos="2948"/>
          <w:tab w:val="clear" w:pos="3515"/>
          <w:tab w:val="clear" w:pos="4082"/>
          <w:tab w:val="left" w:pos="624"/>
          <w:tab w:val="left" w:pos="1871"/>
          <w:tab w:val="left" w:pos="2495"/>
          <w:tab w:val="left" w:pos="3119"/>
        </w:tabs>
        <w:ind w:left="1871" w:hanging="624"/>
        <w:rPr>
          <w:rFonts w:eastAsia="Calibri"/>
          <w:lang w:val="en-GB"/>
        </w:rPr>
      </w:pPr>
      <w:r>
        <w:rPr>
          <w:rFonts w:eastAsia="Calibri"/>
          <w:lang w:val="en-GB"/>
        </w:rPr>
        <w:t>A</w:t>
      </w:r>
      <w:r w:rsidRPr="00DD3F88">
        <w:rPr>
          <w:rFonts w:eastAsia="Calibri"/>
          <w:lang w:val="en-GB"/>
        </w:rPr>
        <w:t>dditional press conferences as appropriate</w:t>
      </w:r>
      <w:r>
        <w:rPr>
          <w:rFonts w:eastAsia="Calibri"/>
          <w:lang w:val="en-GB"/>
        </w:rPr>
        <w:t>.</w:t>
      </w:r>
    </w:p>
    <w:p w14:paraId="6EFA70C7" w14:textId="77777777" w:rsidR="006001B6" w:rsidRPr="00DD3F88" w:rsidRDefault="006001B6" w:rsidP="006001B6">
      <w:pPr>
        <w:pStyle w:val="NormalNonumber"/>
        <w:numPr>
          <w:ilvl w:val="0"/>
          <w:numId w:val="2"/>
        </w:numPr>
        <w:tabs>
          <w:tab w:val="clear" w:pos="1814"/>
          <w:tab w:val="clear" w:pos="2381"/>
          <w:tab w:val="clear" w:pos="2948"/>
          <w:tab w:val="clear" w:pos="3515"/>
          <w:tab w:val="clear" w:pos="4082"/>
          <w:tab w:val="left" w:pos="624"/>
          <w:tab w:val="left" w:pos="1871"/>
          <w:tab w:val="left" w:pos="2495"/>
          <w:tab w:val="left" w:pos="3119"/>
        </w:tabs>
        <w:ind w:left="1871" w:hanging="624"/>
        <w:rPr>
          <w:rFonts w:eastAsia="Calibri"/>
          <w:lang w:val="en-GB"/>
        </w:rPr>
      </w:pPr>
      <w:r>
        <w:rPr>
          <w:rFonts w:eastAsia="Calibri"/>
          <w:lang w:val="en-GB"/>
        </w:rPr>
        <w:t>M</w:t>
      </w:r>
      <w:r w:rsidRPr="00DD3F88">
        <w:rPr>
          <w:rFonts w:eastAsia="Calibri"/>
          <w:lang w:val="en-GB"/>
        </w:rPr>
        <w:t>edia monitoring and follow</w:t>
      </w:r>
      <w:r>
        <w:rPr>
          <w:rFonts w:eastAsia="Calibri"/>
          <w:lang w:val="en-GB"/>
        </w:rPr>
        <w:t>-</w:t>
      </w:r>
      <w:r w:rsidRPr="00DD3F88">
        <w:rPr>
          <w:rFonts w:eastAsia="Calibri"/>
          <w:lang w:val="en-GB"/>
        </w:rPr>
        <w:t>up</w:t>
      </w:r>
      <w:r>
        <w:rPr>
          <w:rFonts w:eastAsia="Calibri"/>
          <w:lang w:val="en-GB"/>
        </w:rPr>
        <w:t>.</w:t>
      </w:r>
    </w:p>
    <w:p w14:paraId="18C57742" w14:textId="77777777" w:rsidR="006001B6" w:rsidRPr="002617C7" w:rsidRDefault="006001B6" w:rsidP="006001B6">
      <w:pPr>
        <w:pStyle w:val="NormalNonumber"/>
        <w:numPr>
          <w:ilvl w:val="0"/>
          <w:numId w:val="2"/>
        </w:numPr>
        <w:tabs>
          <w:tab w:val="clear" w:pos="1814"/>
          <w:tab w:val="clear" w:pos="2381"/>
          <w:tab w:val="clear" w:pos="2948"/>
          <w:tab w:val="clear" w:pos="3515"/>
          <w:tab w:val="clear" w:pos="4082"/>
          <w:tab w:val="left" w:pos="624"/>
          <w:tab w:val="left" w:pos="1871"/>
          <w:tab w:val="left" w:pos="2495"/>
          <w:tab w:val="left" w:pos="3119"/>
        </w:tabs>
        <w:ind w:left="1871" w:hanging="624"/>
        <w:rPr>
          <w:rFonts w:cs="Calibri"/>
          <w:b/>
          <w:lang w:val="en-GB"/>
        </w:rPr>
      </w:pPr>
      <w:r>
        <w:rPr>
          <w:rFonts w:eastAsia="Calibri"/>
          <w:lang w:val="en-GB"/>
        </w:rPr>
        <w:t>E</w:t>
      </w:r>
      <w:r w:rsidRPr="002617C7">
        <w:rPr>
          <w:rFonts w:eastAsia="Calibri"/>
          <w:lang w:val="en-GB"/>
        </w:rPr>
        <w:t>ngagement over the course of the year with different audiences and stakeholders following the approval of the SPM, including conference and events</w:t>
      </w:r>
      <w:r>
        <w:rPr>
          <w:rFonts w:eastAsia="Calibri"/>
          <w:lang w:val="en-GB"/>
        </w:rPr>
        <w:t>.</w:t>
      </w:r>
    </w:p>
    <w:p w14:paraId="6A7CE748" w14:textId="77777777" w:rsidR="006001B6" w:rsidRPr="00DD3F88" w:rsidRDefault="006001B6" w:rsidP="006001B6">
      <w:pPr>
        <w:tabs>
          <w:tab w:val="left" w:pos="624"/>
          <w:tab w:val="left" w:pos="1871"/>
          <w:tab w:val="left" w:pos="2495"/>
          <w:tab w:val="left" w:pos="3119"/>
        </w:tabs>
        <w:spacing w:after="120"/>
        <w:ind w:left="1134"/>
        <w:rPr>
          <w:rFonts w:asciiTheme="majorBidi" w:eastAsia="Calibri" w:hAnsiTheme="majorBidi" w:cstheme="majorBidi"/>
          <w:lang w:val="en-GB"/>
        </w:rPr>
      </w:pPr>
      <w:r w:rsidRPr="00DD3F88">
        <w:rPr>
          <w:rFonts w:asciiTheme="majorBidi" w:eastAsia="Calibri" w:hAnsiTheme="majorBidi" w:cstheme="majorBidi"/>
          <w:lang w:val="en-GB"/>
        </w:rPr>
        <w:t xml:space="preserve">IPBES uses embargoed releases and interviews prior to the launch of the SPM as a means to ensure a disciplined approach to the dissemination of its key messages and findings. This approach is implemented after the approval of the SPMs by member States. </w:t>
      </w:r>
    </w:p>
    <w:p w14:paraId="54C199DC" w14:textId="77777777" w:rsidR="006001B6" w:rsidRPr="00DD3F88" w:rsidRDefault="006001B6" w:rsidP="006001B6">
      <w:pPr>
        <w:tabs>
          <w:tab w:val="left" w:pos="624"/>
          <w:tab w:val="left" w:pos="1871"/>
          <w:tab w:val="left" w:pos="2495"/>
          <w:tab w:val="left" w:pos="3119"/>
        </w:tabs>
        <w:spacing w:after="120"/>
        <w:ind w:left="1134"/>
        <w:rPr>
          <w:rFonts w:asciiTheme="majorBidi" w:eastAsia="Calibri" w:hAnsiTheme="majorBidi" w:cstheme="majorBidi"/>
          <w:lang w:val="en-GB"/>
        </w:rPr>
      </w:pPr>
      <w:r w:rsidRPr="00DD3F88">
        <w:rPr>
          <w:rFonts w:asciiTheme="majorBidi" w:eastAsia="Calibri" w:hAnsiTheme="majorBidi" w:cstheme="majorBidi"/>
          <w:lang w:val="en-GB"/>
        </w:rPr>
        <w:t>The Platform’s key strategic objectives at the launch of an assessment</w:t>
      </w:r>
      <w:r>
        <w:rPr>
          <w:rFonts w:asciiTheme="majorBidi" w:eastAsia="Calibri" w:hAnsiTheme="majorBidi" w:cstheme="majorBidi"/>
          <w:lang w:val="en-GB"/>
        </w:rPr>
        <w:t>,</w:t>
      </w:r>
      <w:r w:rsidRPr="00DD3F88">
        <w:rPr>
          <w:rFonts w:asciiTheme="majorBidi" w:eastAsia="Calibri" w:hAnsiTheme="majorBidi" w:cstheme="majorBidi"/>
          <w:lang w:val="en-GB"/>
        </w:rPr>
        <w:t xml:space="preserve"> which is a period of heightened activity</w:t>
      </w:r>
      <w:r>
        <w:rPr>
          <w:rFonts w:asciiTheme="majorBidi" w:eastAsia="Calibri" w:hAnsiTheme="majorBidi" w:cstheme="majorBidi"/>
          <w:lang w:val="en-GB"/>
        </w:rPr>
        <w:t>,</w:t>
      </w:r>
      <w:r w:rsidRPr="00DD3F88">
        <w:rPr>
          <w:rFonts w:asciiTheme="majorBidi" w:eastAsia="Calibri" w:hAnsiTheme="majorBidi" w:cstheme="majorBidi"/>
          <w:lang w:val="en-GB"/>
        </w:rPr>
        <w:t xml:space="preserve"> are first to maintain vigorous, accurate and sustained press coverage</w:t>
      </w:r>
      <w:r>
        <w:rPr>
          <w:rFonts w:asciiTheme="majorBidi" w:eastAsia="Calibri" w:hAnsiTheme="majorBidi" w:cstheme="majorBidi"/>
          <w:lang w:val="en-GB"/>
        </w:rPr>
        <w:t>;</w:t>
      </w:r>
      <w:r w:rsidRPr="00DD3F88">
        <w:rPr>
          <w:rFonts w:asciiTheme="majorBidi" w:eastAsia="Calibri" w:hAnsiTheme="majorBidi" w:cstheme="majorBidi"/>
          <w:lang w:val="en-GB"/>
        </w:rPr>
        <w:t xml:space="preserve"> second, to coordinate and control messaging that is kept strictly within the bounds set for the Platform’s reports, namely that they should be policy relevant, not policy prescriptive</w:t>
      </w:r>
      <w:r>
        <w:rPr>
          <w:rFonts w:asciiTheme="majorBidi" w:eastAsia="Calibri" w:hAnsiTheme="majorBidi" w:cstheme="majorBidi"/>
          <w:lang w:val="en-GB"/>
        </w:rPr>
        <w:t>;</w:t>
      </w:r>
      <w:r w:rsidRPr="00DD3F88">
        <w:rPr>
          <w:rFonts w:asciiTheme="majorBidi" w:eastAsia="Calibri" w:hAnsiTheme="majorBidi" w:cstheme="majorBidi"/>
          <w:lang w:val="en-GB"/>
        </w:rPr>
        <w:t xml:space="preserve"> and third, to meet the requests made by end </w:t>
      </w:r>
      <w:r w:rsidRPr="00DD3F88">
        <w:rPr>
          <w:rFonts w:asciiTheme="majorBidi" w:eastAsia="Calibri" w:hAnsiTheme="majorBidi" w:cstheme="majorBidi"/>
          <w:lang w:val="en-GB"/>
        </w:rPr>
        <w:lastRenderedPageBreak/>
        <w:t>users –</w:t>
      </w:r>
      <w:r>
        <w:rPr>
          <w:rFonts w:asciiTheme="majorBidi" w:eastAsia="Calibri" w:hAnsiTheme="majorBidi" w:cstheme="majorBidi"/>
          <w:lang w:val="en-GB"/>
        </w:rPr>
        <w:t xml:space="preserve"> </w:t>
      </w:r>
      <w:r w:rsidRPr="00DD3F88">
        <w:rPr>
          <w:rFonts w:asciiTheme="majorBidi" w:eastAsia="Calibri" w:hAnsiTheme="majorBidi" w:cstheme="majorBidi"/>
          <w:lang w:val="en-GB"/>
        </w:rPr>
        <w:t>policymakers and scientific and technical experts in government and the private sector</w:t>
      </w:r>
      <w:r>
        <w:rPr>
          <w:rFonts w:asciiTheme="majorBidi" w:eastAsia="Calibri" w:hAnsiTheme="majorBidi" w:cstheme="majorBidi"/>
          <w:lang w:val="en-GB"/>
        </w:rPr>
        <w:t xml:space="preserve"> in particular</w:t>
      </w:r>
      <w:r w:rsidRPr="00DD3F88">
        <w:rPr>
          <w:rFonts w:asciiTheme="majorBidi" w:eastAsia="Calibri" w:hAnsiTheme="majorBidi" w:cstheme="majorBidi"/>
          <w:lang w:val="en-GB"/>
        </w:rPr>
        <w:t xml:space="preserve"> – for the conduct of seminars, briefings and meetings.</w:t>
      </w:r>
      <w:r w:rsidRPr="00DD3F88">
        <w:rPr>
          <w:vertAlign w:val="superscript"/>
          <w:lang w:val="en-GB"/>
        </w:rPr>
        <w:footnoteReference w:id="1"/>
      </w:r>
    </w:p>
    <w:p w14:paraId="22386B8F" w14:textId="77777777" w:rsidR="006001B6" w:rsidRPr="00DD3F88" w:rsidRDefault="006001B6" w:rsidP="006001B6">
      <w:pPr>
        <w:tabs>
          <w:tab w:val="left" w:pos="624"/>
          <w:tab w:val="left" w:pos="1871"/>
          <w:tab w:val="left" w:pos="2495"/>
          <w:tab w:val="left" w:pos="3119"/>
        </w:tabs>
        <w:spacing w:after="120"/>
        <w:ind w:left="1134"/>
        <w:rPr>
          <w:rFonts w:asciiTheme="majorBidi" w:eastAsia="Calibri" w:hAnsiTheme="majorBidi" w:cstheme="majorBidi"/>
          <w:lang w:val="en-GB"/>
        </w:rPr>
      </w:pPr>
      <w:r w:rsidRPr="00DD3F88">
        <w:rPr>
          <w:rFonts w:asciiTheme="majorBidi" w:eastAsia="Calibri" w:hAnsiTheme="majorBidi" w:cstheme="majorBidi"/>
          <w:lang w:val="en-GB"/>
        </w:rPr>
        <w:t xml:space="preserve">Communicating the results of the Platform’s assessments will be a challenging task because of the range and complexity of scientific issues and the increasing need to reach audiences beyond scientists and </w:t>
      </w:r>
      <w:r>
        <w:rPr>
          <w:rFonts w:asciiTheme="majorBidi" w:eastAsia="Calibri" w:hAnsiTheme="majorBidi" w:cstheme="majorBidi"/>
          <w:lang w:val="en-GB"/>
        </w:rPr>
        <w:t>g</w:t>
      </w:r>
      <w:r w:rsidRPr="00DD3F88">
        <w:rPr>
          <w:rFonts w:asciiTheme="majorBidi" w:eastAsia="Calibri" w:hAnsiTheme="majorBidi" w:cstheme="majorBidi"/>
          <w:lang w:val="en-GB"/>
        </w:rPr>
        <w:t xml:space="preserve">overnments. With the help of a communications consulting firm, clear messages can be crafted for different audiences. Furthermore, trained science writers can translate technical language into text suitable for mass communication or </w:t>
      </w:r>
      <w:r>
        <w:rPr>
          <w:rFonts w:asciiTheme="majorBidi" w:eastAsia="Calibri" w:hAnsiTheme="majorBidi" w:cstheme="majorBidi"/>
          <w:lang w:val="en-GB"/>
        </w:rPr>
        <w:t xml:space="preserve">can </w:t>
      </w:r>
      <w:r w:rsidRPr="00DD3F88">
        <w:rPr>
          <w:rFonts w:asciiTheme="majorBidi" w:eastAsia="Calibri" w:hAnsiTheme="majorBidi" w:cstheme="majorBidi"/>
          <w:lang w:val="en-GB"/>
        </w:rPr>
        <w:t>design web pages that explain scientific concepts to audiences without misconstruing or distorting the evidence underpinning those concepts.</w:t>
      </w:r>
      <w:r w:rsidRPr="00DD3F88">
        <w:rPr>
          <w:vertAlign w:val="superscript"/>
          <w:lang w:val="en-GB"/>
        </w:rPr>
        <w:footnoteReference w:id="2"/>
      </w:r>
    </w:p>
    <w:p w14:paraId="6983103C" w14:textId="77777777" w:rsidR="006001B6" w:rsidRPr="00DD3F88" w:rsidRDefault="006001B6" w:rsidP="006001B6">
      <w:pPr>
        <w:tabs>
          <w:tab w:val="left" w:pos="624"/>
          <w:tab w:val="left" w:pos="1871"/>
          <w:tab w:val="left" w:pos="2495"/>
          <w:tab w:val="left" w:pos="3119"/>
        </w:tabs>
        <w:spacing w:after="120"/>
        <w:ind w:left="1134"/>
        <w:rPr>
          <w:rFonts w:asciiTheme="majorBidi" w:eastAsia="Calibri" w:hAnsiTheme="majorBidi" w:cstheme="majorBidi"/>
          <w:lang w:val="en-GB"/>
        </w:rPr>
      </w:pPr>
      <w:r>
        <w:rPr>
          <w:rFonts w:asciiTheme="majorBidi" w:eastAsia="Calibri" w:hAnsiTheme="majorBidi" w:cstheme="majorBidi"/>
          <w:lang w:val="en-GB"/>
        </w:rPr>
        <w:t>The p</w:t>
      </w:r>
      <w:r w:rsidRPr="00DD3F88">
        <w:rPr>
          <w:rFonts w:asciiTheme="majorBidi" w:eastAsia="Calibri" w:hAnsiTheme="majorBidi" w:cstheme="majorBidi"/>
          <w:lang w:val="en-GB"/>
        </w:rPr>
        <w:t xml:space="preserve">resentation of the findings of </w:t>
      </w:r>
      <w:r>
        <w:rPr>
          <w:rFonts w:asciiTheme="majorBidi" w:eastAsia="Calibri" w:hAnsiTheme="majorBidi" w:cstheme="majorBidi"/>
          <w:lang w:val="en-GB"/>
        </w:rPr>
        <w:t xml:space="preserve">the </w:t>
      </w:r>
      <w:r w:rsidRPr="00DD3F88">
        <w:rPr>
          <w:rFonts w:asciiTheme="majorBidi" w:eastAsia="Calibri" w:hAnsiTheme="majorBidi" w:cstheme="majorBidi"/>
          <w:lang w:val="en-GB"/>
        </w:rPr>
        <w:t>assessment reports</w:t>
      </w:r>
      <w:r>
        <w:rPr>
          <w:rFonts w:asciiTheme="majorBidi" w:eastAsia="Calibri" w:hAnsiTheme="majorBidi" w:cstheme="majorBidi"/>
          <w:lang w:val="en-GB"/>
        </w:rPr>
        <w:t>,</w:t>
      </w:r>
      <w:r w:rsidRPr="00DD3F88">
        <w:rPr>
          <w:rFonts w:asciiTheme="majorBidi" w:eastAsia="Calibri" w:hAnsiTheme="majorBidi" w:cstheme="majorBidi"/>
          <w:lang w:val="en-GB"/>
        </w:rPr>
        <w:t xml:space="preserve"> </w:t>
      </w:r>
      <w:r>
        <w:rPr>
          <w:rFonts w:asciiTheme="majorBidi" w:eastAsia="Calibri" w:hAnsiTheme="majorBidi" w:cstheme="majorBidi"/>
          <w:lang w:val="en-GB"/>
        </w:rPr>
        <w:t>in particular</w:t>
      </w:r>
      <w:r w:rsidRPr="00DD3F88">
        <w:rPr>
          <w:rFonts w:asciiTheme="majorBidi" w:eastAsia="Calibri" w:hAnsiTheme="majorBidi" w:cstheme="majorBidi"/>
          <w:lang w:val="en-GB"/>
        </w:rPr>
        <w:t xml:space="preserve"> the launch of the </w:t>
      </w:r>
      <w:r>
        <w:rPr>
          <w:rFonts w:asciiTheme="majorBidi" w:eastAsia="Calibri" w:hAnsiTheme="majorBidi" w:cstheme="majorBidi"/>
          <w:lang w:val="en-GB"/>
        </w:rPr>
        <w:t>P</w:t>
      </w:r>
      <w:r w:rsidRPr="00DD3F88">
        <w:rPr>
          <w:rFonts w:asciiTheme="majorBidi" w:eastAsia="Calibri" w:hAnsiTheme="majorBidi" w:cstheme="majorBidi"/>
          <w:lang w:val="en-GB"/>
        </w:rPr>
        <w:t xml:space="preserve">ollination </w:t>
      </w:r>
      <w:r>
        <w:rPr>
          <w:rFonts w:asciiTheme="majorBidi" w:eastAsia="Calibri" w:hAnsiTheme="majorBidi" w:cstheme="majorBidi"/>
          <w:lang w:val="en-GB"/>
        </w:rPr>
        <w:t>A</w:t>
      </w:r>
      <w:r w:rsidRPr="00DD3F88">
        <w:rPr>
          <w:rFonts w:asciiTheme="majorBidi" w:eastAsia="Calibri" w:hAnsiTheme="majorBidi" w:cstheme="majorBidi"/>
          <w:lang w:val="en-GB"/>
        </w:rPr>
        <w:t>ssessment</w:t>
      </w:r>
      <w:r>
        <w:rPr>
          <w:rFonts w:asciiTheme="majorBidi" w:eastAsia="Calibri" w:hAnsiTheme="majorBidi" w:cstheme="majorBidi"/>
          <w:lang w:val="en-GB"/>
        </w:rPr>
        <w:t xml:space="preserve">, </w:t>
      </w:r>
      <w:r w:rsidRPr="00DD3F88">
        <w:rPr>
          <w:rFonts w:asciiTheme="majorBidi" w:eastAsia="Calibri" w:hAnsiTheme="majorBidi" w:cstheme="majorBidi"/>
          <w:lang w:val="en-GB"/>
        </w:rPr>
        <w:t xml:space="preserve">led to very intense press activity with articles </w:t>
      </w:r>
      <w:r>
        <w:rPr>
          <w:rFonts w:asciiTheme="majorBidi" w:eastAsia="Calibri" w:hAnsiTheme="majorBidi" w:cstheme="majorBidi"/>
          <w:lang w:val="en-GB"/>
        </w:rPr>
        <w:t xml:space="preserve">appearing </w:t>
      </w:r>
      <w:r w:rsidRPr="00DD3F88">
        <w:rPr>
          <w:rFonts w:asciiTheme="majorBidi" w:eastAsia="Calibri" w:hAnsiTheme="majorBidi" w:cstheme="majorBidi"/>
          <w:lang w:val="en-GB"/>
        </w:rPr>
        <w:t>on all major newswires (Reuters, AFP, EFE, etc.), 1</w:t>
      </w:r>
      <w:r>
        <w:rPr>
          <w:rFonts w:asciiTheme="majorBidi" w:eastAsia="Calibri" w:hAnsiTheme="majorBidi" w:cstheme="majorBidi"/>
          <w:lang w:val="en-GB"/>
        </w:rPr>
        <w:t>,</w:t>
      </w:r>
      <w:r w:rsidRPr="00DD3F88">
        <w:rPr>
          <w:rFonts w:asciiTheme="majorBidi" w:eastAsia="Calibri" w:hAnsiTheme="majorBidi" w:cstheme="majorBidi"/>
          <w:lang w:val="en-GB"/>
        </w:rPr>
        <w:t xml:space="preserve">200 online news articles in 25 languages </w:t>
      </w:r>
      <w:r>
        <w:rPr>
          <w:rFonts w:asciiTheme="majorBidi" w:eastAsia="Calibri" w:hAnsiTheme="majorBidi" w:cstheme="majorBidi"/>
          <w:lang w:val="en-GB"/>
        </w:rPr>
        <w:t>across</w:t>
      </w:r>
      <w:r w:rsidRPr="00DD3F88">
        <w:rPr>
          <w:rFonts w:asciiTheme="majorBidi" w:eastAsia="Calibri" w:hAnsiTheme="majorBidi" w:cstheme="majorBidi"/>
          <w:lang w:val="en-GB"/>
        </w:rPr>
        <w:t xml:space="preserve"> 80 countries, plus numerous articles in print newspapers (e.g.</w:t>
      </w:r>
      <w:r>
        <w:rPr>
          <w:rFonts w:asciiTheme="majorBidi" w:eastAsia="Calibri" w:hAnsiTheme="majorBidi" w:cstheme="majorBidi"/>
          <w:lang w:val="en-GB"/>
        </w:rPr>
        <w:t>,</w:t>
      </w:r>
      <w:r w:rsidRPr="00DD3F88">
        <w:rPr>
          <w:rFonts w:asciiTheme="majorBidi" w:eastAsia="Calibri" w:hAnsiTheme="majorBidi" w:cstheme="majorBidi"/>
          <w:lang w:val="en-GB"/>
        </w:rPr>
        <w:t xml:space="preserve"> NY times) and </w:t>
      </w:r>
      <w:r>
        <w:rPr>
          <w:rFonts w:asciiTheme="majorBidi" w:eastAsia="Calibri" w:hAnsiTheme="majorBidi" w:cstheme="majorBidi"/>
          <w:lang w:val="en-GB"/>
        </w:rPr>
        <w:t xml:space="preserve">abundant </w:t>
      </w:r>
      <w:r w:rsidRPr="00DD3F88">
        <w:rPr>
          <w:rFonts w:asciiTheme="majorBidi" w:eastAsia="Calibri" w:hAnsiTheme="majorBidi" w:cstheme="majorBidi"/>
          <w:lang w:val="en-GB"/>
        </w:rPr>
        <w:t xml:space="preserve">radio coverage. “Jeopardy”, a long-running US </w:t>
      </w:r>
      <w:r>
        <w:rPr>
          <w:rFonts w:asciiTheme="majorBidi" w:eastAsia="Calibri" w:hAnsiTheme="majorBidi" w:cstheme="majorBidi"/>
          <w:lang w:val="en-GB"/>
        </w:rPr>
        <w:t xml:space="preserve">TV </w:t>
      </w:r>
      <w:r w:rsidRPr="00DD3F88">
        <w:rPr>
          <w:rFonts w:asciiTheme="majorBidi" w:eastAsia="Calibri" w:hAnsiTheme="majorBidi" w:cstheme="majorBidi"/>
          <w:lang w:val="en-GB"/>
        </w:rPr>
        <w:t xml:space="preserve">game show with an average daily audience of </w:t>
      </w:r>
      <w:r>
        <w:rPr>
          <w:rFonts w:asciiTheme="majorBidi" w:eastAsia="Calibri" w:hAnsiTheme="majorBidi" w:cstheme="majorBidi"/>
          <w:lang w:val="en-GB"/>
        </w:rPr>
        <w:t>nine</w:t>
      </w:r>
      <w:r w:rsidRPr="00DD3F88">
        <w:rPr>
          <w:rFonts w:asciiTheme="majorBidi" w:eastAsia="Calibri" w:hAnsiTheme="majorBidi" w:cstheme="majorBidi"/>
          <w:lang w:val="en-GB"/>
        </w:rPr>
        <w:t xml:space="preserve"> million, </w:t>
      </w:r>
      <w:r>
        <w:rPr>
          <w:rFonts w:asciiTheme="majorBidi" w:eastAsia="Calibri" w:hAnsiTheme="majorBidi" w:cstheme="majorBidi"/>
          <w:lang w:val="en-GB"/>
        </w:rPr>
        <w:t xml:space="preserve">also </w:t>
      </w:r>
      <w:r w:rsidRPr="00DD3F88">
        <w:rPr>
          <w:rFonts w:asciiTheme="majorBidi" w:eastAsia="Calibri" w:hAnsiTheme="majorBidi" w:cstheme="majorBidi"/>
          <w:lang w:val="en-GB"/>
        </w:rPr>
        <w:t xml:space="preserve">included </w:t>
      </w:r>
      <w:r>
        <w:rPr>
          <w:rFonts w:asciiTheme="majorBidi" w:eastAsia="Calibri" w:hAnsiTheme="majorBidi" w:cstheme="majorBidi"/>
          <w:lang w:val="en-GB"/>
        </w:rPr>
        <w:t xml:space="preserve">a </w:t>
      </w:r>
      <w:r w:rsidRPr="00DD3F88">
        <w:rPr>
          <w:rFonts w:asciiTheme="majorBidi" w:eastAsia="Calibri" w:hAnsiTheme="majorBidi" w:cstheme="majorBidi"/>
          <w:lang w:val="en-GB"/>
        </w:rPr>
        <w:t xml:space="preserve">question based on the IPBES report in its April 26, 2016 broadcast (category: “Science Update”). A table summarizing all </w:t>
      </w:r>
      <w:r>
        <w:rPr>
          <w:rFonts w:asciiTheme="majorBidi" w:eastAsia="Calibri" w:hAnsiTheme="majorBidi" w:cstheme="majorBidi"/>
          <w:lang w:val="en-GB"/>
        </w:rPr>
        <w:t xml:space="preserve">of </w:t>
      </w:r>
      <w:r w:rsidRPr="00DD3F88">
        <w:rPr>
          <w:rFonts w:asciiTheme="majorBidi" w:eastAsia="Calibri" w:hAnsiTheme="majorBidi" w:cstheme="majorBidi"/>
          <w:lang w:val="en-GB"/>
        </w:rPr>
        <w:t>these press articles is included on the IPBES website (</w:t>
      </w:r>
      <w:hyperlink r:id="rId7" w:history="1">
        <w:r w:rsidRPr="00DD3F88">
          <w:rPr>
            <w:rStyle w:val="Hyperlink"/>
            <w:rFonts w:asciiTheme="majorBidi" w:eastAsia="Calibri" w:hAnsiTheme="majorBidi" w:cstheme="majorBidi"/>
            <w:lang w:val="en-GB"/>
          </w:rPr>
          <w:t>www.ipbes.net/article/ipbes-pollinationreport-media-coverage</w:t>
        </w:r>
      </w:hyperlink>
      <w:r w:rsidRPr="00DD3F88">
        <w:rPr>
          <w:rFonts w:asciiTheme="majorBidi" w:eastAsia="Calibri" w:hAnsiTheme="majorBidi" w:cstheme="majorBidi"/>
          <w:lang w:val="en-GB"/>
        </w:rPr>
        <w:t>).</w:t>
      </w:r>
      <w:r w:rsidRPr="00DD3F88">
        <w:rPr>
          <w:vertAlign w:val="superscript"/>
          <w:lang w:val="en-GB"/>
        </w:rPr>
        <w:footnoteReference w:id="3"/>
      </w:r>
      <w:r w:rsidRPr="00DD3F88">
        <w:rPr>
          <w:rFonts w:asciiTheme="majorBidi" w:eastAsia="Calibri" w:hAnsiTheme="majorBidi" w:cstheme="majorBidi"/>
          <w:vertAlign w:val="superscript"/>
          <w:lang w:val="en-GB"/>
        </w:rPr>
        <w:t xml:space="preserve"> </w:t>
      </w:r>
    </w:p>
    <w:p w14:paraId="6412ABFB" w14:textId="77777777" w:rsidR="006001B6" w:rsidRPr="00DD3F88" w:rsidRDefault="006001B6" w:rsidP="006001B6">
      <w:pPr>
        <w:tabs>
          <w:tab w:val="left" w:pos="624"/>
          <w:tab w:val="left" w:pos="1871"/>
          <w:tab w:val="left" w:pos="2495"/>
          <w:tab w:val="left" w:pos="3119"/>
        </w:tabs>
        <w:spacing w:after="120"/>
        <w:ind w:left="1134"/>
        <w:rPr>
          <w:rFonts w:asciiTheme="majorBidi" w:eastAsia="Times New Roman" w:hAnsiTheme="majorBidi" w:cstheme="majorBidi"/>
          <w:lang w:val="en-GB"/>
        </w:rPr>
      </w:pPr>
      <w:r w:rsidRPr="00DD3F88">
        <w:rPr>
          <w:rFonts w:asciiTheme="majorBidi" w:eastAsia="Times New Roman" w:hAnsiTheme="majorBidi" w:cstheme="majorBidi"/>
          <w:b/>
          <w:bCs/>
          <w:lang w:val="en-GB"/>
        </w:rPr>
        <w:t>Other activities in addition to the communication strategy</w:t>
      </w:r>
      <w:r w:rsidRPr="00DD3F88">
        <w:rPr>
          <w:rFonts w:asciiTheme="majorBidi" w:eastAsia="Times New Roman" w:hAnsiTheme="majorBidi" w:cstheme="majorBidi"/>
          <w:lang w:val="en-GB"/>
        </w:rPr>
        <w:t xml:space="preserve"> can be </w:t>
      </w:r>
      <w:r w:rsidRPr="00280AD4">
        <w:rPr>
          <w:rFonts w:asciiTheme="majorBidi" w:eastAsia="Calibri" w:hAnsiTheme="majorBidi" w:cstheme="majorBidi"/>
          <w:lang w:val="en-GB"/>
        </w:rPr>
        <w:t>undertaken</w:t>
      </w:r>
      <w:r w:rsidRPr="00DD3F88">
        <w:rPr>
          <w:rFonts w:asciiTheme="majorBidi" w:eastAsia="Times New Roman" w:hAnsiTheme="majorBidi" w:cstheme="majorBidi"/>
          <w:lang w:val="en-GB"/>
        </w:rPr>
        <w:t xml:space="preserve"> to encourage the use of the key findings of the assessment</w:t>
      </w:r>
      <w:r>
        <w:rPr>
          <w:rFonts w:asciiTheme="majorBidi" w:eastAsia="Times New Roman" w:hAnsiTheme="majorBidi" w:cstheme="majorBidi"/>
          <w:lang w:val="en-GB"/>
        </w:rPr>
        <w:t>. These</w:t>
      </w:r>
      <w:r w:rsidRPr="00DD3F88">
        <w:rPr>
          <w:rFonts w:asciiTheme="majorBidi" w:eastAsia="Times New Roman" w:hAnsiTheme="majorBidi" w:cstheme="majorBidi"/>
          <w:lang w:val="en-GB"/>
        </w:rPr>
        <w:t xml:space="preserve"> include:</w:t>
      </w:r>
    </w:p>
    <w:p w14:paraId="3B5CA263" w14:textId="77777777" w:rsidR="006001B6" w:rsidRPr="00DD3F88" w:rsidRDefault="006001B6" w:rsidP="006001B6">
      <w:pPr>
        <w:pStyle w:val="ListParagraph"/>
        <w:numPr>
          <w:ilvl w:val="0"/>
          <w:numId w:val="3"/>
        </w:numPr>
        <w:tabs>
          <w:tab w:val="left" w:pos="624"/>
          <w:tab w:val="left" w:pos="709"/>
          <w:tab w:val="left" w:pos="1247"/>
          <w:tab w:val="left" w:pos="1871"/>
          <w:tab w:val="left" w:pos="2381"/>
          <w:tab w:val="left" w:pos="2495"/>
          <w:tab w:val="left" w:pos="2948"/>
          <w:tab w:val="left" w:pos="3119"/>
          <w:tab w:val="left" w:pos="3515"/>
        </w:tabs>
        <w:spacing w:after="240"/>
        <w:ind w:left="1871" w:hanging="624"/>
        <w:rPr>
          <w:rFonts w:asciiTheme="majorBidi" w:eastAsia="Times New Roman" w:hAnsiTheme="majorBidi" w:cstheme="majorBidi"/>
          <w:sz w:val="20"/>
          <w:szCs w:val="20"/>
          <w:lang w:val="en-GB"/>
        </w:rPr>
      </w:pPr>
      <w:r>
        <w:rPr>
          <w:rFonts w:asciiTheme="majorBidi" w:eastAsia="Times New Roman" w:hAnsiTheme="majorBidi" w:cstheme="majorBidi"/>
          <w:sz w:val="20"/>
          <w:szCs w:val="20"/>
          <w:lang w:val="en-GB"/>
        </w:rPr>
        <w:t>W</w:t>
      </w:r>
      <w:r w:rsidRPr="00DD3F88">
        <w:rPr>
          <w:rFonts w:asciiTheme="majorBidi" w:eastAsia="Times New Roman" w:hAnsiTheme="majorBidi" w:cstheme="majorBidi"/>
          <w:sz w:val="20"/>
          <w:szCs w:val="20"/>
          <w:lang w:val="en-GB"/>
        </w:rPr>
        <w:t>orking with key partners on the use of findings, such as the parties and observers under relevant multilateral agreements</w:t>
      </w:r>
      <w:r>
        <w:rPr>
          <w:rFonts w:asciiTheme="majorBidi" w:eastAsia="Times New Roman" w:hAnsiTheme="majorBidi" w:cstheme="majorBidi"/>
          <w:sz w:val="20"/>
          <w:szCs w:val="20"/>
          <w:lang w:val="en-GB"/>
        </w:rPr>
        <w:t>;</w:t>
      </w:r>
    </w:p>
    <w:p w14:paraId="6BCE8083" w14:textId="77777777" w:rsidR="006001B6" w:rsidRPr="00DD3F88" w:rsidRDefault="006001B6" w:rsidP="006001B6">
      <w:pPr>
        <w:pStyle w:val="ListParagraph"/>
        <w:numPr>
          <w:ilvl w:val="0"/>
          <w:numId w:val="3"/>
        </w:numPr>
        <w:tabs>
          <w:tab w:val="left" w:pos="624"/>
          <w:tab w:val="left" w:pos="709"/>
          <w:tab w:val="left" w:pos="1247"/>
          <w:tab w:val="left" w:pos="1871"/>
          <w:tab w:val="left" w:pos="2381"/>
          <w:tab w:val="left" w:pos="2495"/>
          <w:tab w:val="left" w:pos="2948"/>
          <w:tab w:val="left" w:pos="3119"/>
          <w:tab w:val="left" w:pos="3515"/>
        </w:tabs>
        <w:spacing w:after="240"/>
        <w:ind w:left="1871" w:hanging="624"/>
        <w:rPr>
          <w:rFonts w:asciiTheme="majorBidi" w:eastAsia="Calibri" w:hAnsiTheme="majorBidi" w:cstheme="majorBidi"/>
          <w:iCs/>
          <w:color w:val="000000" w:themeColor="text1"/>
          <w:sz w:val="20"/>
          <w:szCs w:val="20"/>
          <w:lang w:val="en-GB"/>
        </w:rPr>
      </w:pPr>
      <w:r>
        <w:rPr>
          <w:rFonts w:asciiTheme="majorBidi" w:eastAsia="Times New Roman" w:hAnsiTheme="majorBidi" w:cstheme="majorBidi"/>
          <w:sz w:val="20"/>
          <w:szCs w:val="20"/>
          <w:lang w:val="en-GB"/>
        </w:rPr>
        <w:t>M</w:t>
      </w:r>
      <w:r w:rsidRPr="00DD3F88">
        <w:rPr>
          <w:rFonts w:asciiTheme="majorBidi" w:eastAsia="Times New Roman" w:hAnsiTheme="majorBidi" w:cstheme="majorBidi"/>
          <w:sz w:val="20"/>
          <w:szCs w:val="20"/>
          <w:lang w:val="en-GB"/>
        </w:rPr>
        <w:t>aking knowledge and data gaps identified within the assessments available to the scientific community and research funding agencies (through the use of the knowledge catalysis function of IPBES) in order to generate further research, monitoring and modelling</w:t>
      </w:r>
      <w:r>
        <w:rPr>
          <w:rFonts w:asciiTheme="majorBidi" w:eastAsia="Times New Roman" w:hAnsiTheme="majorBidi" w:cstheme="majorBidi"/>
          <w:sz w:val="20"/>
          <w:szCs w:val="20"/>
          <w:lang w:val="en-GB"/>
        </w:rPr>
        <w:t>;</w:t>
      </w:r>
    </w:p>
    <w:p w14:paraId="6C25058B" w14:textId="77777777" w:rsidR="006001B6" w:rsidRPr="00DD3F88" w:rsidRDefault="006001B6" w:rsidP="006001B6">
      <w:pPr>
        <w:pStyle w:val="ListParagraph"/>
        <w:numPr>
          <w:ilvl w:val="0"/>
          <w:numId w:val="3"/>
        </w:numPr>
        <w:tabs>
          <w:tab w:val="left" w:pos="624"/>
          <w:tab w:val="left" w:pos="709"/>
          <w:tab w:val="left" w:pos="1247"/>
          <w:tab w:val="left" w:pos="1871"/>
          <w:tab w:val="left" w:pos="2381"/>
          <w:tab w:val="left" w:pos="2495"/>
          <w:tab w:val="left" w:pos="2948"/>
          <w:tab w:val="left" w:pos="3119"/>
          <w:tab w:val="left" w:pos="3515"/>
        </w:tabs>
        <w:spacing w:after="240"/>
        <w:ind w:left="1871" w:hanging="624"/>
        <w:rPr>
          <w:rFonts w:asciiTheme="majorBidi" w:eastAsia="Calibri" w:hAnsiTheme="majorBidi" w:cstheme="majorBidi"/>
          <w:iCs/>
          <w:color w:val="000000" w:themeColor="text1"/>
          <w:sz w:val="20"/>
          <w:szCs w:val="20"/>
          <w:lang w:val="en-GB"/>
        </w:rPr>
      </w:pPr>
      <w:r>
        <w:rPr>
          <w:rFonts w:asciiTheme="majorBidi" w:eastAsia="Calibri" w:hAnsiTheme="majorBidi" w:cstheme="majorBidi"/>
          <w:iCs/>
          <w:color w:val="000000" w:themeColor="text1"/>
          <w:sz w:val="20"/>
          <w:szCs w:val="20"/>
          <w:lang w:val="en-GB"/>
        </w:rPr>
        <w:t>W</w:t>
      </w:r>
      <w:r w:rsidRPr="00DD3F88">
        <w:rPr>
          <w:rFonts w:asciiTheme="majorBidi" w:eastAsia="Calibri" w:hAnsiTheme="majorBidi" w:cstheme="majorBidi"/>
          <w:iCs/>
          <w:color w:val="000000" w:themeColor="text1"/>
          <w:sz w:val="20"/>
          <w:szCs w:val="20"/>
          <w:lang w:val="en-GB"/>
        </w:rPr>
        <w:t>orking</w:t>
      </w:r>
      <w:r w:rsidRPr="001B4259">
        <w:rPr>
          <w:rFonts w:asciiTheme="majorBidi" w:eastAsia="Calibri" w:hAnsiTheme="majorBidi" w:cstheme="majorBidi"/>
          <w:iCs/>
          <w:color w:val="000000" w:themeColor="text1"/>
          <w:sz w:val="20"/>
          <w:szCs w:val="20"/>
          <w:lang w:val="en-GB"/>
        </w:rPr>
        <w:t xml:space="preserve"> </w:t>
      </w:r>
      <w:r w:rsidRPr="00DD3F88">
        <w:rPr>
          <w:rFonts w:asciiTheme="majorBidi" w:eastAsia="Calibri" w:hAnsiTheme="majorBidi" w:cstheme="majorBidi"/>
          <w:iCs/>
          <w:color w:val="000000" w:themeColor="text1"/>
          <w:sz w:val="20"/>
          <w:szCs w:val="20"/>
          <w:lang w:val="en-GB"/>
        </w:rPr>
        <w:t xml:space="preserve">with countries, through </w:t>
      </w:r>
      <w:r w:rsidRPr="00280AD4">
        <w:rPr>
          <w:rFonts w:asciiTheme="majorBidi" w:eastAsia="Times New Roman" w:hAnsiTheme="majorBidi" w:cstheme="majorBidi"/>
          <w:sz w:val="20"/>
          <w:szCs w:val="20"/>
          <w:lang w:val="en-GB"/>
        </w:rPr>
        <w:t>capacity</w:t>
      </w:r>
      <w:r w:rsidRPr="00DD3F88">
        <w:rPr>
          <w:rFonts w:asciiTheme="majorBidi" w:eastAsia="Calibri" w:hAnsiTheme="majorBidi" w:cstheme="majorBidi"/>
          <w:iCs/>
          <w:color w:val="000000" w:themeColor="text1"/>
          <w:sz w:val="20"/>
          <w:szCs w:val="20"/>
          <w:lang w:val="en-GB"/>
        </w:rPr>
        <w:t xml:space="preserve"> building activities, to implement mechanisms which will help to leverage further impact</w:t>
      </w:r>
      <w:r>
        <w:rPr>
          <w:rFonts w:asciiTheme="majorBidi" w:eastAsia="Calibri" w:hAnsiTheme="majorBidi" w:cstheme="majorBidi"/>
          <w:iCs/>
          <w:color w:val="000000" w:themeColor="text1"/>
          <w:sz w:val="20"/>
          <w:szCs w:val="20"/>
          <w:lang w:val="en-GB"/>
        </w:rPr>
        <w:t>s</w:t>
      </w:r>
      <w:r w:rsidRPr="00DD3F88">
        <w:rPr>
          <w:rFonts w:asciiTheme="majorBidi" w:eastAsia="Calibri" w:hAnsiTheme="majorBidi" w:cstheme="majorBidi"/>
          <w:iCs/>
          <w:color w:val="000000" w:themeColor="text1"/>
          <w:sz w:val="20"/>
          <w:szCs w:val="20"/>
          <w:lang w:val="en-GB"/>
        </w:rPr>
        <w:t xml:space="preserve"> of IPBES products</w:t>
      </w:r>
      <w:r>
        <w:rPr>
          <w:rFonts w:asciiTheme="majorBidi" w:eastAsia="Calibri" w:hAnsiTheme="majorBidi" w:cstheme="majorBidi"/>
          <w:iCs/>
          <w:color w:val="000000" w:themeColor="text1"/>
          <w:sz w:val="20"/>
          <w:szCs w:val="20"/>
          <w:lang w:val="en-GB"/>
        </w:rPr>
        <w:t>,</w:t>
      </w:r>
      <w:r w:rsidRPr="00DD3F88">
        <w:rPr>
          <w:rFonts w:asciiTheme="majorBidi" w:eastAsia="Calibri" w:hAnsiTheme="majorBidi" w:cstheme="majorBidi"/>
          <w:iCs/>
          <w:color w:val="000000" w:themeColor="text1"/>
          <w:sz w:val="20"/>
          <w:szCs w:val="20"/>
          <w:lang w:val="en-GB"/>
        </w:rPr>
        <w:t xml:space="preserve"> such as through national platforms and national assessments</w:t>
      </w:r>
      <w:r>
        <w:rPr>
          <w:rFonts w:asciiTheme="majorBidi" w:eastAsia="Calibri" w:hAnsiTheme="majorBidi" w:cstheme="majorBidi"/>
          <w:iCs/>
          <w:color w:val="000000" w:themeColor="text1"/>
          <w:sz w:val="20"/>
          <w:szCs w:val="20"/>
          <w:lang w:val="en-GB"/>
        </w:rPr>
        <w:t>;</w:t>
      </w:r>
    </w:p>
    <w:p w14:paraId="63528B52" w14:textId="77777777" w:rsidR="006001B6" w:rsidRPr="00DD3F88" w:rsidRDefault="006001B6" w:rsidP="006001B6">
      <w:pPr>
        <w:pStyle w:val="ListParagraph"/>
        <w:numPr>
          <w:ilvl w:val="0"/>
          <w:numId w:val="3"/>
        </w:numPr>
        <w:tabs>
          <w:tab w:val="left" w:pos="624"/>
          <w:tab w:val="left" w:pos="709"/>
          <w:tab w:val="left" w:pos="1247"/>
          <w:tab w:val="left" w:pos="1871"/>
          <w:tab w:val="left" w:pos="2381"/>
          <w:tab w:val="left" w:pos="2495"/>
          <w:tab w:val="left" w:pos="2948"/>
          <w:tab w:val="left" w:pos="3119"/>
          <w:tab w:val="left" w:pos="3515"/>
        </w:tabs>
        <w:spacing w:after="240"/>
        <w:ind w:left="1871" w:hanging="624"/>
        <w:rPr>
          <w:rFonts w:asciiTheme="majorBidi" w:eastAsia="Calibri" w:hAnsiTheme="majorBidi" w:cstheme="majorBidi"/>
          <w:iCs/>
          <w:color w:val="000000" w:themeColor="text1"/>
          <w:sz w:val="20"/>
          <w:szCs w:val="20"/>
          <w:lang w:val="en-GB"/>
        </w:rPr>
      </w:pPr>
      <w:r>
        <w:rPr>
          <w:rFonts w:asciiTheme="majorBidi" w:eastAsia="Calibri" w:hAnsiTheme="majorBidi" w:cstheme="majorBidi"/>
          <w:iCs/>
          <w:color w:val="000000" w:themeColor="text1"/>
          <w:sz w:val="20"/>
          <w:szCs w:val="20"/>
          <w:lang w:val="en-GB"/>
        </w:rPr>
        <w:t>C</w:t>
      </w:r>
      <w:r w:rsidRPr="00DD3F88">
        <w:rPr>
          <w:rFonts w:asciiTheme="majorBidi" w:eastAsia="Calibri" w:hAnsiTheme="majorBidi" w:cstheme="majorBidi"/>
          <w:iCs/>
          <w:color w:val="000000" w:themeColor="text1"/>
          <w:sz w:val="20"/>
          <w:szCs w:val="20"/>
          <w:lang w:val="en-GB"/>
        </w:rPr>
        <w:t xml:space="preserve">apturing </w:t>
      </w:r>
      <w:r w:rsidRPr="00280AD4">
        <w:rPr>
          <w:rFonts w:asciiTheme="majorBidi" w:eastAsia="Times New Roman" w:hAnsiTheme="majorBidi" w:cstheme="majorBidi"/>
          <w:sz w:val="20"/>
          <w:szCs w:val="20"/>
          <w:lang w:val="en-GB"/>
        </w:rPr>
        <w:t>information</w:t>
      </w:r>
      <w:r w:rsidRPr="00DD3F88">
        <w:rPr>
          <w:rFonts w:asciiTheme="majorBidi" w:eastAsia="Calibri" w:hAnsiTheme="majorBidi" w:cstheme="majorBidi"/>
          <w:iCs/>
          <w:color w:val="000000" w:themeColor="text1"/>
          <w:sz w:val="20"/>
          <w:szCs w:val="20"/>
          <w:lang w:val="en-GB"/>
        </w:rPr>
        <w:t xml:space="preserve"> on policy support tools in IPBES assessments and </w:t>
      </w:r>
      <w:r>
        <w:rPr>
          <w:rFonts w:asciiTheme="majorBidi" w:eastAsia="Calibri" w:hAnsiTheme="majorBidi" w:cstheme="majorBidi"/>
          <w:iCs/>
          <w:color w:val="000000" w:themeColor="text1"/>
          <w:sz w:val="20"/>
          <w:szCs w:val="20"/>
          <w:lang w:val="en-GB"/>
        </w:rPr>
        <w:t>including</w:t>
      </w:r>
      <w:r w:rsidRPr="00DD3F88">
        <w:rPr>
          <w:rFonts w:asciiTheme="majorBidi" w:eastAsia="Calibri" w:hAnsiTheme="majorBidi" w:cstheme="majorBidi"/>
          <w:iCs/>
          <w:color w:val="000000" w:themeColor="text1"/>
          <w:sz w:val="20"/>
          <w:szCs w:val="20"/>
          <w:lang w:val="en-GB"/>
        </w:rPr>
        <w:t xml:space="preserve"> it in the </w:t>
      </w:r>
      <w:r>
        <w:rPr>
          <w:rFonts w:asciiTheme="majorBidi" w:eastAsia="Calibri" w:hAnsiTheme="majorBidi" w:cstheme="majorBidi"/>
          <w:iCs/>
          <w:color w:val="000000" w:themeColor="text1"/>
          <w:sz w:val="20"/>
          <w:szCs w:val="20"/>
          <w:lang w:val="en-GB"/>
        </w:rPr>
        <w:t>IPBES C</w:t>
      </w:r>
      <w:r w:rsidRPr="00DD3F88">
        <w:rPr>
          <w:rFonts w:asciiTheme="majorBidi" w:eastAsia="Calibri" w:hAnsiTheme="majorBidi" w:cstheme="majorBidi"/>
          <w:iCs/>
          <w:color w:val="000000" w:themeColor="text1"/>
          <w:sz w:val="20"/>
          <w:szCs w:val="20"/>
          <w:lang w:val="en-GB"/>
        </w:rPr>
        <w:t>atalogue to allow users to search and access the tools</w:t>
      </w:r>
      <w:r>
        <w:rPr>
          <w:rFonts w:asciiTheme="majorBidi" w:eastAsia="Calibri" w:hAnsiTheme="majorBidi" w:cstheme="majorBidi"/>
          <w:iCs/>
          <w:color w:val="000000" w:themeColor="text1"/>
          <w:sz w:val="20"/>
          <w:szCs w:val="20"/>
          <w:lang w:val="en-GB"/>
        </w:rPr>
        <w:t>; and</w:t>
      </w:r>
    </w:p>
    <w:p w14:paraId="70B7C34B" w14:textId="77777777" w:rsidR="006001B6" w:rsidRDefault="006001B6" w:rsidP="006001B6">
      <w:pPr>
        <w:pStyle w:val="ListParagraph"/>
        <w:numPr>
          <w:ilvl w:val="0"/>
          <w:numId w:val="3"/>
        </w:numPr>
        <w:tabs>
          <w:tab w:val="left" w:pos="624"/>
          <w:tab w:val="left" w:pos="709"/>
          <w:tab w:val="left" w:pos="1247"/>
          <w:tab w:val="left" w:pos="1871"/>
          <w:tab w:val="left" w:pos="2381"/>
          <w:tab w:val="left" w:pos="2495"/>
          <w:tab w:val="left" w:pos="2948"/>
          <w:tab w:val="left" w:pos="3119"/>
          <w:tab w:val="left" w:pos="3515"/>
        </w:tabs>
        <w:spacing w:after="240"/>
        <w:ind w:left="1871" w:hanging="624"/>
        <w:rPr>
          <w:rFonts w:ascii="Times New Roman" w:eastAsia="Calibri" w:hAnsi="Times New Roman" w:cs="Times New Roman"/>
          <w:iCs/>
          <w:color w:val="000000" w:themeColor="text1"/>
          <w:lang w:val="en-GB"/>
        </w:rPr>
      </w:pPr>
      <w:r>
        <w:rPr>
          <w:rFonts w:asciiTheme="majorBidi" w:eastAsia="Calibri" w:hAnsiTheme="majorBidi" w:cstheme="majorBidi"/>
          <w:iCs/>
          <w:color w:val="000000" w:themeColor="text1"/>
          <w:sz w:val="20"/>
          <w:szCs w:val="20"/>
          <w:lang w:val="en-GB"/>
        </w:rPr>
        <w:t>P</w:t>
      </w:r>
      <w:r w:rsidRPr="00DD3F88">
        <w:rPr>
          <w:rFonts w:asciiTheme="majorBidi" w:eastAsia="Calibri" w:hAnsiTheme="majorBidi" w:cstheme="majorBidi"/>
          <w:iCs/>
          <w:color w:val="000000" w:themeColor="text1"/>
          <w:sz w:val="20"/>
          <w:szCs w:val="20"/>
          <w:lang w:val="en-GB"/>
        </w:rPr>
        <w:t>reparing a number of scientific publications on various aspects of th</w:t>
      </w:r>
      <w:r>
        <w:rPr>
          <w:rFonts w:asciiTheme="majorBidi" w:eastAsia="Calibri" w:hAnsiTheme="majorBidi" w:cstheme="majorBidi"/>
          <w:iCs/>
          <w:color w:val="000000" w:themeColor="text1"/>
          <w:sz w:val="20"/>
          <w:szCs w:val="20"/>
          <w:lang w:val="en-GB"/>
        </w:rPr>
        <w:t xml:space="preserve">e </w:t>
      </w:r>
      <w:r w:rsidRPr="00DD3F88">
        <w:rPr>
          <w:rFonts w:asciiTheme="majorBidi" w:eastAsia="Calibri" w:hAnsiTheme="majorBidi" w:cstheme="majorBidi"/>
          <w:iCs/>
          <w:color w:val="000000" w:themeColor="text1"/>
          <w:sz w:val="20"/>
          <w:szCs w:val="20"/>
          <w:lang w:val="en-GB"/>
        </w:rPr>
        <w:t>reports</w:t>
      </w:r>
      <w:r>
        <w:rPr>
          <w:rFonts w:asciiTheme="majorBidi" w:eastAsia="Calibri" w:hAnsiTheme="majorBidi" w:cstheme="majorBidi"/>
          <w:iCs/>
          <w:color w:val="000000" w:themeColor="text1"/>
          <w:sz w:val="20"/>
          <w:szCs w:val="20"/>
          <w:lang w:val="en-GB"/>
        </w:rPr>
        <w:t>, undertaken by</w:t>
      </w:r>
      <w:r w:rsidRPr="00DD3F88">
        <w:rPr>
          <w:rFonts w:asciiTheme="majorBidi" w:eastAsia="Calibri" w:hAnsiTheme="majorBidi" w:cstheme="majorBidi"/>
          <w:iCs/>
          <w:color w:val="000000" w:themeColor="text1"/>
          <w:sz w:val="20"/>
          <w:szCs w:val="20"/>
          <w:lang w:val="en-GB"/>
        </w:rPr>
        <w:t xml:space="preserve"> </w:t>
      </w:r>
      <w:r>
        <w:rPr>
          <w:rFonts w:asciiTheme="majorBidi" w:eastAsia="Calibri" w:hAnsiTheme="majorBidi" w:cstheme="majorBidi"/>
          <w:iCs/>
          <w:color w:val="000000" w:themeColor="text1"/>
          <w:sz w:val="20"/>
          <w:szCs w:val="20"/>
          <w:lang w:val="en-GB"/>
        </w:rPr>
        <w:t>ex</w:t>
      </w:r>
      <w:r w:rsidRPr="00DD3F88">
        <w:rPr>
          <w:rFonts w:asciiTheme="majorBidi" w:eastAsia="Calibri" w:hAnsiTheme="majorBidi" w:cstheme="majorBidi"/>
          <w:iCs/>
          <w:color w:val="000000" w:themeColor="text1"/>
          <w:sz w:val="20"/>
          <w:szCs w:val="20"/>
          <w:lang w:val="en-GB"/>
        </w:rPr>
        <w:t xml:space="preserve">perts in </w:t>
      </w:r>
      <w:r>
        <w:rPr>
          <w:rFonts w:asciiTheme="majorBidi" w:eastAsia="Calibri" w:hAnsiTheme="majorBidi" w:cstheme="majorBidi"/>
          <w:iCs/>
          <w:color w:val="000000" w:themeColor="text1"/>
          <w:sz w:val="20"/>
          <w:szCs w:val="20"/>
          <w:lang w:val="en-GB"/>
        </w:rPr>
        <w:t>the</w:t>
      </w:r>
      <w:r w:rsidRPr="00DD3F88">
        <w:rPr>
          <w:rFonts w:asciiTheme="majorBidi" w:eastAsia="Calibri" w:hAnsiTheme="majorBidi" w:cstheme="majorBidi"/>
          <w:iCs/>
          <w:color w:val="000000" w:themeColor="text1"/>
          <w:sz w:val="20"/>
          <w:szCs w:val="20"/>
          <w:lang w:val="en-GB"/>
        </w:rPr>
        <w:t xml:space="preserve"> published assessments</w:t>
      </w:r>
      <w:r>
        <w:rPr>
          <w:rFonts w:asciiTheme="majorBidi" w:eastAsia="Calibri" w:hAnsiTheme="majorBidi" w:cstheme="majorBidi"/>
          <w:iCs/>
          <w:color w:val="000000" w:themeColor="text1"/>
          <w:sz w:val="20"/>
          <w:szCs w:val="20"/>
          <w:lang w:val="en-GB"/>
        </w:rPr>
        <w:t>,</w:t>
      </w:r>
      <w:r w:rsidRPr="00DD3F88">
        <w:rPr>
          <w:rFonts w:asciiTheme="majorBidi" w:eastAsia="Calibri" w:hAnsiTheme="majorBidi" w:cstheme="majorBidi"/>
          <w:iCs/>
          <w:color w:val="000000" w:themeColor="text1"/>
          <w:sz w:val="20"/>
          <w:szCs w:val="20"/>
          <w:lang w:val="en-GB"/>
        </w:rPr>
        <w:t xml:space="preserve"> </w:t>
      </w:r>
      <w:r>
        <w:rPr>
          <w:rFonts w:asciiTheme="majorBidi" w:eastAsia="Calibri" w:hAnsiTheme="majorBidi" w:cstheme="majorBidi"/>
          <w:iCs/>
          <w:color w:val="000000" w:themeColor="text1"/>
          <w:sz w:val="20"/>
          <w:szCs w:val="20"/>
          <w:lang w:val="en-GB"/>
        </w:rPr>
        <w:t xml:space="preserve">which </w:t>
      </w:r>
      <w:r w:rsidRPr="00DD3F88">
        <w:rPr>
          <w:rFonts w:asciiTheme="majorBidi" w:eastAsia="Calibri" w:hAnsiTheme="majorBidi" w:cstheme="majorBidi"/>
          <w:iCs/>
          <w:color w:val="000000" w:themeColor="text1"/>
          <w:sz w:val="20"/>
          <w:szCs w:val="20"/>
          <w:lang w:val="en-GB"/>
        </w:rPr>
        <w:t>will be listed on the IPBES website</w:t>
      </w:r>
      <w:r w:rsidRPr="00DD3F88">
        <w:rPr>
          <w:rFonts w:ascii="Times New Roman" w:eastAsia="Calibri" w:hAnsi="Times New Roman" w:cs="Times New Roman"/>
          <w:iCs/>
          <w:color w:val="000000" w:themeColor="text1"/>
          <w:lang w:val="en-GB"/>
        </w:rPr>
        <w:t>.</w:t>
      </w:r>
    </w:p>
    <w:p w14:paraId="54CC13C6" w14:textId="77777777" w:rsidR="006001B6" w:rsidRPr="001C4454" w:rsidRDefault="006001B6" w:rsidP="006001B6">
      <w:pPr>
        <w:tabs>
          <w:tab w:val="clear" w:pos="1247"/>
          <w:tab w:val="clear" w:pos="1814"/>
          <w:tab w:val="clear" w:pos="2381"/>
          <w:tab w:val="clear" w:pos="2948"/>
          <w:tab w:val="clear" w:pos="3515"/>
        </w:tabs>
        <w:rPr>
          <w:rFonts w:eastAsia="Calibri" w:cs="Times New Roman"/>
          <w:iCs/>
          <w:color w:val="000000" w:themeColor="text1"/>
          <w:sz w:val="22"/>
          <w:szCs w:val="22"/>
          <w:lang w:val="en-GB"/>
        </w:rPr>
      </w:pPr>
      <w:r>
        <w:rPr>
          <w:rFonts w:eastAsia="Calibri" w:cs="Times New Roman"/>
          <w:iCs/>
          <w:color w:val="000000" w:themeColor="text1"/>
          <w:lang w:val="en-GB"/>
        </w:rPr>
        <w:br w:type="page"/>
      </w:r>
    </w:p>
    <w:p w14:paraId="6464F962" w14:textId="77777777" w:rsidR="00AE3D2F" w:rsidRPr="006001B6" w:rsidRDefault="00AE3D2F">
      <w:pPr>
        <w:rPr>
          <w:lang w:val="en-GB"/>
        </w:rPr>
      </w:pPr>
    </w:p>
    <w:sectPr w:rsidR="00AE3D2F" w:rsidRPr="006001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F13AE" w14:textId="77777777" w:rsidR="00F30191" w:rsidRDefault="00F30191" w:rsidP="006001B6">
      <w:r>
        <w:separator/>
      </w:r>
    </w:p>
  </w:endnote>
  <w:endnote w:type="continuationSeparator" w:id="0">
    <w:p w14:paraId="2666EA8A" w14:textId="77777777" w:rsidR="00F30191" w:rsidRDefault="00F30191" w:rsidP="00600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68C68" w14:textId="77777777" w:rsidR="00F30191" w:rsidRDefault="00F30191" w:rsidP="006001B6">
      <w:r>
        <w:separator/>
      </w:r>
    </w:p>
  </w:footnote>
  <w:footnote w:type="continuationSeparator" w:id="0">
    <w:p w14:paraId="5FD14919" w14:textId="77777777" w:rsidR="00F30191" w:rsidRDefault="00F30191" w:rsidP="006001B6">
      <w:r>
        <w:continuationSeparator/>
      </w:r>
    </w:p>
  </w:footnote>
  <w:footnote w:id="1">
    <w:p w14:paraId="341F72C4" w14:textId="77777777" w:rsidR="006001B6" w:rsidRDefault="006001B6" w:rsidP="006001B6">
      <w:pPr>
        <w:pStyle w:val="FootnoteText"/>
        <w:ind w:left="0"/>
        <w:rPr>
          <w:lang w:val="nb-NO"/>
        </w:rPr>
      </w:pPr>
      <w:r w:rsidRPr="00393C03">
        <w:rPr>
          <w:vertAlign w:val="superscript"/>
        </w:rPr>
        <w:footnoteRef/>
      </w:r>
      <w:r w:rsidRPr="006E2049">
        <w:rPr>
          <w:lang w:val="en-US"/>
        </w:rPr>
        <w:t xml:space="preserve"> IPBES-3/4 : Communication, stakeholder engagement and strategic partnerships. https://www.ipbes.net/document-library-catalogue/decision-ipbes-34 </w:t>
      </w:r>
    </w:p>
  </w:footnote>
  <w:footnote w:id="2">
    <w:p w14:paraId="358288E5" w14:textId="77777777" w:rsidR="006001B6" w:rsidRDefault="006001B6" w:rsidP="006001B6">
      <w:pPr>
        <w:pStyle w:val="FootnoteText"/>
        <w:tabs>
          <w:tab w:val="left" w:pos="0"/>
        </w:tabs>
        <w:ind w:left="0"/>
        <w:rPr>
          <w:lang w:val="nb-NO"/>
        </w:rPr>
      </w:pPr>
      <w:r w:rsidRPr="001C4454">
        <w:rPr>
          <w:rStyle w:val="FootnoteReference"/>
        </w:rPr>
        <w:footnoteRef/>
      </w:r>
      <w:r w:rsidRPr="001C4454">
        <w:rPr>
          <w:lang w:val="nb-NO"/>
        </w:rPr>
        <w:t xml:space="preserve"> IPBES/3/18: Meeting report. https://www.ipbes.net/document-library-catalogue/ipbes318</w:t>
      </w:r>
    </w:p>
  </w:footnote>
  <w:footnote w:id="3">
    <w:p w14:paraId="6BCA7BCD" w14:textId="77777777" w:rsidR="006001B6" w:rsidRDefault="006001B6" w:rsidP="006001B6">
      <w:pPr>
        <w:pStyle w:val="FootnoteText"/>
        <w:ind w:left="0"/>
        <w:rPr>
          <w:lang w:val="nb-NO"/>
        </w:rPr>
      </w:pPr>
      <w:r>
        <w:rPr>
          <w:rStyle w:val="FootnoteReference"/>
        </w:rPr>
        <w:footnoteRef/>
      </w:r>
      <w:r>
        <w:rPr>
          <w:lang w:val="nb-NO"/>
        </w:rPr>
        <w:t xml:space="preserve"> See the </w:t>
      </w:r>
      <w:r w:rsidRPr="00280AD4">
        <w:rPr>
          <w:lang w:val="en-GB"/>
        </w:rPr>
        <w:t>Bureau report</w:t>
      </w:r>
      <w:r>
        <w:rPr>
          <w:lang w:val="en-GB"/>
        </w:rPr>
        <w:t xml:space="preserve"> here:</w:t>
      </w:r>
      <w:r w:rsidRPr="00280AD4">
        <w:rPr>
          <w:lang w:val="en-GB"/>
        </w:rPr>
        <w:t xml:space="preserve"> https://www.ipbes.net/sites/default/files/downloads/pdf/IPBES-Bureau_7_10%20COM.pdf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75B96"/>
    <w:multiLevelType w:val="hybridMultilevel"/>
    <w:tmpl w:val="820C7A66"/>
    <w:lvl w:ilvl="0" w:tplc="04090001">
      <w:start w:val="1"/>
      <w:numFmt w:val="bullet"/>
      <w:lvlText w:val=""/>
      <w:lvlJc w:val="left"/>
      <w:pPr>
        <w:ind w:left="1967" w:hanging="360"/>
      </w:pPr>
      <w:rPr>
        <w:rFonts w:ascii="Symbol" w:hAnsi="Symbol" w:hint="default"/>
      </w:rPr>
    </w:lvl>
    <w:lvl w:ilvl="1" w:tplc="08090003">
      <w:start w:val="1"/>
      <w:numFmt w:val="bullet"/>
      <w:lvlText w:val="o"/>
      <w:lvlJc w:val="left"/>
      <w:pPr>
        <w:ind w:left="2687" w:hanging="360"/>
      </w:pPr>
      <w:rPr>
        <w:rFonts w:ascii="Courier New" w:hAnsi="Courier New" w:cs="Courier New" w:hint="default"/>
      </w:rPr>
    </w:lvl>
    <w:lvl w:ilvl="2" w:tplc="08090005">
      <w:start w:val="1"/>
      <w:numFmt w:val="bullet"/>
      <w:lvlText w:val=""/>
      <w:lvlJc w:val="left"/>
      <w:pPr>
        <w:ind w:left="3407" w:hanging="360"/>
      </w:pPr>
      <w:rPr>
        <w:rFonts w:ascii="Wingdings" w:hAnsi="Wingdings" w:hint="default"/>
      </w:rPr>
    </w:lvl>
    <w:lvl w:ilvl="3" w:tplc="08090001">
      <w:start w:val="1"/>
      <w:numFmt w:val="bullet"/>
      <w:lvlText w:val=""/>
      <w:lvlJc w:val="left"/>
      <w:pPr>
        <w:ind w:left="4127" w:hanging="360"/>
      </w:pPr>
      <w:rPr>
        <w:rFonts w:ascii="Symbol" w:hAnsi="Symbol" w:hint="default"/>
      </w:rPr>
    </w:lvl>
    <w:lvl w:ilvl="4" w:tplc="08090003">
      <w:start w:val="1"/>
      <w:numFmt w:val="bullet"/>
      <w:lvlText w:val="o"/>
      <w:lvlJc w:val="left"/>
      <w:pPr>
        <w:ind w:left="4847" w:hanging="360"/>
      </w:pPr>
      <w:rPr>
        <w:rFonts w:ascii="Courier New" w:hAnsi="Courier New" w:cs="Courier New" w:hint="default"/>
      </w:rPr>
    </w:lvl>
    <w:lvl w:ilvl="5" w:tplc="08090005">
      <w:start w:val="1"/>
      <w:numFmt w:val="bullet"/>
      <w:lvlText w:val=""/>
      <w:lvlJc w:val="left"/>
      <w:pPr>
        <w:ind w:left="5567" w:hanging="360"/>
      </w:pPr>
      <w:rPr>
        <w:rFonts w:ascii="Wingdings" w:hAnsi="Wingdings" w:hint="default"/>
      </w:rPr>
    </w:lvl>
    <w:lvl w:ilvl="6" w:tplc="08090001">
      <w:start w:val="1"/>
      <w:numFmt w:val="bullet"/>
      <w:lvlText w:val=""/>
      <w:lvlJc w:val="left"/>
      <w:pPr>
        <w:ind w:left="6287" w:hanging="360"/>
      </w:pPr>
      <w:rPr>
        <w:rFonts w:ascii="Symbol" w:hAnsi="Symbol" w:hint="default"/>
      </w:rPr>
    </w:lvl>
    <w:lvl w:ilvl="7" w:tplc="08090003">
      <w:start w:val="1"/>
      <w:numFmt w:val="bullet"/>
      <w:lvlText w:val="o"/>
      <w:lvlJc w:val="left"/>
      <w:pPr>
        <w:ind w:left="7007" w:hanging="360"/>
      </w:pPr>
      <w:rPr>
        <w:rFonts w:ascii="Courier New" w:hAnsi="Courier New" w:cs="Courier New" w:hint="default"/>
      </w:rPr>
    </w:lvl>
    <w:lvl w:ilvl="8" w:tplc="08090005">
      <w:start w:val="1"/>
      <w:numFmt w:val="bullet"/>
      <w:lvlText w:val=""/>
      <w:lvlJc w:val="left"/>
      <w:pPr>
        <w:ind w:left="7727" w:hanging="360"/>
      </w:pPr>
      <w:rPr>
        <w:rFonts w:ascii="Wingdings" w:hAnsi="Wingdings" w:hint="default"/>
      </w:rPr>
    </w:lvl>
  </w:abstractNum>
  <w:abstractNum w:abstractNumId="1" w15:restartNumberingAfterBreak="0">
    <w:nsid w:val="596364DA"/>
    <w:multiLevelType w:val="hybridMultilevel"/>
    <w:tmpl w:val="7C6A66C8"/>
    <w:lvl w:ilvl="0" w:tplc="08090001">
      <w:start w:val="1"/>
      <w:numFmt w:val="bullet"/>
      <w:lvlText w:val=""/>
      <w:lvlJc w:val="left"/>
      <w:pPr>
        <w:ind w:left="2366" w:hanging="360"/>
      </w:pPr>
      <w:rPr>
        <w:rFonts w:ascii="Symbol" w:hAnsi="Symbol" w:hint="default"/>
      </w:rPr>
    </w:lvl>
    <w:lvl w:ilvl="1" w:tplc="08090003">
      <w:start w:val="1"/>
      <w:numFmt w:val="bullet"/>
      <w:lvlText w:val="o"/>
      <w:lvlJc w:val="left"/>
      <w:pPr>
        <w:ind w:left="3086" w:hanging="360"/>
      </w:pPr>
      <w:rPr>
        <w:rFonts w:ascii="Courier New" w:hAnsi="Courier New" w:cs="Courier New" w:hint="default"/>
      </w:rPr>
    </w:lvl>
    <w:lvl w:ilvl="2" w:tplc="08090005">
      <w:start w:val="1"/>
      <w:numFmt w:val="bullet"/>
      <w:lvlText w:val=""/>
      <w:lvlJc w:val="left"/>
      <w:pPr>
        <w:ind w:left="3806" w:hanging="360"/>
      </w:pPr>
      <w:rPr>
        <w:rFonts w:ascii="Wingdings" w:hAnsi="Wingdings" w:hint="default"/>
      </w:rPr>
    </w:lvl>
    <w:lvl w:ilvl="3" w:tplc="08090001">
      <w:start w:val="1"/>
      <w:numFmt w:val="bullet"/>
      <w:lvlText w:val=""/>
      <w:lvlJc w:val="left"/>
      <w:pPr>
        <w:ind w:left="4526" w:hanging="360"/>
      </w:pPr>
      <w:rPr>
        <w:rFonts w:ascii="Symbol" w:hAnsi="Symbol" w:hint="default"/>
      </w:rPr>
    </w:lvl>
    <w:lvl w:ilvl="4" w:tplc="08090003">
      <w:start w:val="1"/>
      <w:numFmt w:val="bullet"/>
      <w:lvlText w:val="o"/>
      <w:lvlJc w:val="left"/>
      <w:pPr>
        <w:ind w:left="5246" w:hanging="360"/>
      </w:pPr>
      <w:rPr>
        <w:rFonts w:ascii="Courier New" w:hAnsi="Courier New" w:cs="Courier New" w:hint="default"/>
      </w:rPr>
    </w:lvl>
    <w:lvl w:ilvl="5" w:tplc="08090005">
      <w:start w:val="1"/>
      <w:numFmt w:val="bullet"/>
      <w:lvlText w:val=""/>
      <w:lvlJc w:val="left"/>
      <w:pPr>
        <w:ind w:left="5966" w:hanging="360"/>
      </w:pPr>
      <w:rPr>
        <w:rFonts w:ascii="Wingdings" w:hAnsi="Wingdings" w:hint="default"/>
      </w:rPr>
    </w:lvl>
    <w:lvl w:ilvl="6" w:tplc="08090001">
      <w:start w:val="1"/>
      <w:numFmt w:val="bullet"/>
      <w:lvlText w:val=""/>
      <w:lvlJc w:val="left"/>
      <w:pPr>
        <w:ind w:left="6686" w:hanging="360"/>
      </w:pPr>
      <w:rPr>
        <w:rFonts w:ascii="Symbol" w:hAnsi="Symbol" w:hint="default"/>
      </w:rPr>
    </w:lvl>
    <w:lvl w:ilvl="7" w:tplc="08090003">
      <w:start w:val="1"/>
      <w:numFmt w:val="bullet"/>
      <w:lvlText w:val="o"/>
      <w:lvlJc w:val="left"/>
      <w:pPr>
        <w:ind w:left="7406" w:hanging="360"/>
      </w:pPr>
      <w:rPr>
        <w:rFonts w:ascii="Courier New" w:hAnsi="Courier New" w:cs="Courier New" w:hint="default"/>
      </w:rPr>
    </w:lvl>
    <w:lvl w:ilvl="8" w:tplc="08090005">
      <w:start w:val="1"/>
      <w:numFmt w:val="bullet"/>
      <w:lvlText w:val=""/>
      <w:lvlJc w:val="left"/>
      <w:pPr>
        <w:ind w:left="8126" w:hanging="360"/>
      </w:pPr>
      <w:rPr>
        <w:rFonts w:ascii="Wingdings" w:hAnsi="Wingdings" w:hint="default"/>
      </w:rPr>
    </w:lvl>
  </w:abstractNum>
  <w:abstractNum w:abstractNumId="2" w15:restartNumberingAfterBreak="0">
    <w:nsid w:val="59A85CC1"/>
    <w:multiLevelType w:val="hybridMultilevel"/>
    <w:tmpl w:val="5BE26F82"/>
    <w:lvl w:ilvl="0" w:tplc="04090001">
      <w:start w:val="1"/>
      <w:numFmt w:val="bullet"/>
      <w:lvlText w:val=""/>
      <w:lvlJc w:val="left"/>
      <w:pPr>
        <w:ind w:left="1967" w:hanging="360"/>
      </w:pPr>
      <w:rPr>
        <w:rFonts w:ascii="Symbol" w:hAnsi="Symbol" w:hint="default"/>
      </w:rPr>
    </w:lvl>
    <w:lvl w:ilvl="1" w:tplc="08090003">
      <w:start w:val="1"/>
      <w:numFmt w:val="bullet"/>
      <w:lvlText w:val="o"/>
      <w:lvlJc w:val="left"/>
      <w:pPr>
        <w:ind w:left="2687" w:hanging="360"/>
      </w:pPr>
      <w:rPr>
        <w:rFonts w:ascii="Courier New" w:hAnsi="Courier New" w:cs="Courier New" w:hint="default"/>
      </w:rPr>
    </w:lvl>
    <w:lvl w:ilvl="2" w:tplc="08090005">
      <w:start w:val="1"/>
      <w:numFmt w:val="bullet"/>
      <w:lvlText w:val=""/>
      <w:lvlJc w:val="left"/>
      <w:pPr>
        <w:ind w:left="3407" w:hanging="360"/>
      </w:pPr>
      <w:rPr>
        <w:rFonts w:ascii="Wingdings" w:hAnsi="Wingdings" w:hint="default"/>
      </w:rPr>
    </w:lvl>
    <w:lvl w:ilvl="3" w:tplc="08090001">
      <w:start w:val="1"/>
      <w:numFmt w:val="bullet"/>
      <w:lvlText w:val=""/>
      <w:lvlJc w:val="left"/>
      <w:pPr>
        <w:ind w:left="4127" w:hanging="360"/>
      </w:pPr>
      <w:rPr>
        <w:rFonts w:ascii="Symbol" w:hAnsi="Symbol" w:hint="default"/>
      </w:rPr>
    </w:lvl>
    <w:lvl w:ilvl="4" w:tplc="08090003">
      <w:start w:val="1"/>
      <w:numFmt w:val="bullet"/>
      <w:lvlText w:val="o"/>
      <w:lvlJc w:val="left"/>
      <w:pPr>
        <w:ind w:left="4847" w:hanging="360"/>
      </w:pPr>
      <w:rPr>
        <w:rFonts w:ascii="Courier New" w:hAnsi="Courier New" w:cs="Courier New" w:hint="default"/>
      </w:rPr>
    </w:lvl>
    <w:lvl w:ilvl="5" w:tplc="08090005">
      <w:start w:val="1"/>
      <w:numFmt w:val="bullet"/>
      <w:lvlText w:val=""/>
      <w:lvlJc w:val="left"/>
      <w:pPr>
        <w:ind w:left="5567" w:hanging="360"/>
      </w:pPr>
      <w:rPr>
        <w:rFonts w:ascii="Wingdings" w:hAnsi="Wingdings" w:hint="default"/>
      </w:rPr>
    </w:lvl>
    <w:lvl w:ilvl="6" w:tplc="08090001">
      <w:start w:val="1"/>
      <w:numFmt w:val="bullet"/>
      <w:lvlText w:val=""/>
      <w:lvlJc w:val="left"/>
      <w:pPr>
        <w:ind w:left="6287" w:hanging="360"/>
      </w:pPr>
      <w:rPr>
        <w:rFonts w:ascii="Symbol" w:hAnsi="Symbol" w:hint="default"/>
      </w:rPr>
    </w:lvl>
    <w:lvl w:ilvl="7" w:tplc="08090003">
      <w:start w:val="1"/>
      <w:numFmt w:val="bullet"/>
      <w:lvlText w:val="o"/>
      <w:lvlJc w:val="left"/>
      <w:pPr>
        <w:ind w:left="7007" w:hanging="360"/>
      </w:pPr>
      <w:rPr>
        <w:rFonts w:ascii="Courier New" w:hAnsi="Courier New" w:cs="Courier New" w:hint="default"/>
      </w:rPr>
    </w:lvl>
    <w:lvl w:ilvl="8" w:tplc="08090005">
      <w:start w:val="1"/>
      <w:numFmt w:val="bullet"/>
      <w:lvlText w:val=""/>
      <w:lvlJc w:val="left"/>
      <w:pPr>
        <w:ind w:left="7727" w:hanging="360"/>
      </w:pPr>
      <w:rPr>
        <w:rFonts w:ascii="Wingdings" w:hAnsi="Wingdings" w:hint="default"/>
      </w:rPr>
    </w:lvl>
  </w:abstractNum>
  <w:num w:numId="1" w16cid:durableId="1375426593">
    <w:abstractNumId w:val="0"/>
  </w:num>
  <w:num w:numId="2" w16cid:durableId="1160658969">
    <w:abstractNumId w:val="2"/>
  </w:num>
  <w:num w:numId="3" w16cid:durableId="930742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1B6"/>
    <w:rsid w:val="00084098"/>
    <w:rsid w:val="000B46AD"/>
    <w:rsid w:val="00135D2C"/>
    <w:rsid w:val="00305DAE"/>
    <w:rsid w:val="003929C2"/>
    <w:rsid w:val="003A04ED"/>
    <w:rsid w:val="003A6AF1"/>
    <w:rsid w:val="006001B6"/>
    <w:rsid w:val="007E76A2"/>
    <w:rsid w:val="00960DA3"/>
    <w:rsid w:val="009B4FB9"/>
    <w:rsid w:val="009F2622"/>
    <w:rsid w:val="00A4131B"/>
    <w:rsid w:val="00AE3D2F"/>
    <w:rsid w:val="00B25543"/>
    <w:rsid w:val="00BF6A31"/>
    <w:rsid w:val="00D56676"/>
    <w:rsid w:val="00DD2791"/>
    <w:rsid w:val="00DD7E44"/>
    <w:rsid w:val="00E755BA"/>
    <w:rsid w:val="00F30191"/>
    <w:rsid w:val="00F41C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629D44"/>
  <w15:chartTrackingRefBased/>
  <w15:docId w15:val="{F0DA29B2-FD66-A247-97FA-37C2C9A63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001B6"/>
    <w:pPr>
      <w:tabs>
        <w:tab w:val="left" w:pos="1247"/>
        <w:tab w:val="left" w:pos="1814"/>
        <w:tab w:val="left" w:pos="2381"/>
        <w:tab w:val="left" w:pos="2948"/>
        <w:tab w:val="left" w:pos="3515"/>
      </w:tabs>
    </w:pPr>
    <w:rPr>
      <w:rFonts w:ascii="Times New Roman" w:eastAsiaTheme="minorHAnsi" w:hAnsi="Times New Roman"/>
      <w:sz w:val="20"/>
      <w:szCs w:val="20"/>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Normal"/>
    <w:uiPriority w:val="99"/>
    <w:qFormat/>
    <w:rsid w:val="006001B6"/>
    <w:pPr>
      <w:keepNext/>
      <w:keepLines/>
      <w:tabs>
        <w:tab w:val="right" w:pos="851"/>
        <w:tab w:val="left" w:pos="4082"/>
      </w:tabs>
      <w:suppressAutoHyphens/>
      <w:spacing w:before="240" w:after="120"/>
      <w:ind w:left="1247" w:right="284" w:hanging="1247"/>
    </w:pPr>
    <w:rPr>
      <w:rFonts w:eastAsia="Times New Roman" w:cs="Times New Roman"/>
      <w:b/>
      <w:sz w:val="28"/>
      <w:szCs w:val="28"/>
      <w:lang w:val="fr-CA"/>
    </w:rPr>
  </w:style>
  <w:style w:type="character" w:styleId="FootnoteReference">
    <w:name w:val="footnote reference"/>
    <w:aliases w:val="16 Point,Superscript 6 Point,number,SUPERS,Footnote Reference Superscript"/>
    <w:uiPriority w:val="99"/>
    <w:semiHidden/>
    <w:rsid w:val="006001B6"/>
    <w:rPr>
      <w:rFonts w:ascii="Times New Roman" w:hAnsi="Times New Roman"/>
      <w:color w:val="auto"/>
      <w:sz w:val="20"/>
      <w:szCs w:val="18"/>
      <w:vertAlign w:val="superscript"/>
    </w:rPr>
  </w:style>
  <w:style w:type="paragraph" w:styleId="FootnoteText">
    <w:name w:val="footnote text"/>
    <w:aliases w:val="Geneva 9,Font: Geneva 9,Boston 10,f,DNV-FT,Fußnotentextf,Footnote Text Char Char,Footnote Text Char Char Char Char,Footnote Text1,Footnote Text Char Char Char"/>
    <w:basedOn w:val="Normal"/>
    <w:link w:val="FootnoteTextChar"/>
    <w:uiPriority w:val="99"/>
    <w:semiHidden/>
    <w:qFormat/>
    <w:rsid w:val="006001B6"/>
    <w:pPr>
      <w:tabs>
        <w:tab w:val="left" w:pos="4082"/>
      </w:tabs>
      <w:spacing w:before="20" w:after="40"/>
      <w:ind w:left="1247"/>
    </w:pPr>
    <w:rPr>
      <w:rFonts w:eastAsia="Times New Roman" w:cs="Times New Roman"/>
      <w:sz w:val="18"/>
      <w:lang w:val="fr-CA"/>
    </w:rPr>
  </w:style>
  <w:style w:type="character" w:customStyle="1" w:styleId="FootnoteTextChar">
    <w:name w:val="Footnote Text Char"/>
    <w:aliases w:val="Geneva 9 Char,Font: Geneva 9 Char,Boston 10 Char,f Char,DNV-FT Char,Fußnotentextf Char,Footnote Text Char Char Char1,Footnote Text Char Char Char Char Char,Footnote Text1 Char,Footnote Text Char Char Char Char1"/>
    <w:basedOn w:val="DefaultParagraphFont"/>
    <w:link w:val="FootnoteText"/>
    <w:uiPriority w:val="99"/>
    <w:semiHidden/>
    <w:rsid w:val="006001B6"/>
    <w:rPr>
      <w:rFonts w:ascii="Times New Roman" w:eastAsia="Times New Roman" w:hAnsi="Times New Roman" w:cs="Times New Roman"/>
      <w:sz w:val="18"/>
      <w:szCs w:val="20"/>
      <w:lang w:val="fr-CA" w:eastAsia="en-US"/>
    </w:rPr>
  </w:style>
  <w:style w:type="character" w:styleId="Hyperlink">
    <w:name w:val="Hyperlink"/>
    <w:uiPriority w:val="99"/>
    <w:rsid w:val="006001B6"/>
    <w:rPr>
      <w:rFonts w:ascii="Times New Roman" w:hAnsi="Times New Roman"/>
      <w:color w:val="auto"/>
      <w:sz w:val="20"/>
      <w:szCs w:val="20"/>
      <w:u w:val="none"/>
      <w:lang w:val="fr-FR"/>
    </w:rPr>
  </w:style>
  <w:style w:type="paragraph" w:customStyle="1" w:styleId="NormalNonumber">
    <w:name w:val="Normal_No_number"/>
    <w:basedOn w:val="Normal"/>
    <w:uiPriority w:val="99"/>
    <w:rsid w:val="006001B6"/>
    <w:pPr>
      <w:tabs>
        <w:tab w:val="left" w:pos="4082"/>
      </w:tabs>
      <w:spacing w:after="120"/>
      <w:ind w:left="1247"/>
    </w:pPr>
    <w:rPr>
      <w:rFonts w:eastAsia="Times New Roman" w:cs="Times New Roman"/>
      <w:lang w:val="fr-CA"/>
    </w:rPr>
  </w:style>
  <w:style w:type="paragraph" w:styleId="ListParagraph">
    <w:name w:val="List Paragraph"/>
    <w:basedOn w:val="Normal"/>
    <w:link w:val="ListParagraphChar"/>
    <w:qFormat/>
    <w:rsid w:val="006001B6"/>
    <w:pPr>
      <w:tabs>
        <w:tab w:val="clear" w:pos="1247"/>
        <w:tab w:val="clear" w:pos="1814"/>
        <w:tab w:val="clear" w:pos="2381"/>
        <w:tab w:val="clear" w:pos="2948"/>
        <w:tab w:val="clear" w:pos="3515"/>
      </w:tabs>
      <w:spacing w:after="200" w:line="276" w:lineRule="auto"/>
      <w:ind w:left="720"/>
      <w:contextualSpacing/>
    </w:pPr>
    <w:rPr>
      <w:rFonts w:asciiTheme="minorHAnsi" w:eastAsiaTheme="minorEastAsia" w:hAnsiTheme="minorHAnsi"/>
      <w:sz w:val="22"/>
      <w:szCs w:val="22"/>
      <w:lang w:val="en-US"/>
    </w:rPr>
  </w:style>
  <w:style w:type="character" w:customStyle="1" w:styleId="ListParagraphChar">
    <w:name w:val="List Paragraph Char"/>
    <w:link w:val="ListParagraph"/>
    <w:rsid w:val="006001B6"/>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pbes.net/article/ipbes-pollinationreport-media-cove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796</Words>
  <Characters>4543</Characters>
  <Application>Microsoft Office Word</Application>
  <DocSecurity>0</DocSecurity>
  <Lines>37</Lines>
  <Paragraphs>10</Paragraphs>
  <ScaleCrop>false</ScaleCrop>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Tanara Renard</dc:creator>
  <cp:keywords/>
  <dc:description/>
  <cp:lastModifiedBy>Tanara Renard</cp:lastModifiedBy>
  <cp:revision>1</cp:revision>
  <dcterms:created xsi:type="dcterms:W3CDTF">2025-05-06T13:52:00Z</dcterms:created>
  <dcterms:modified xsi:type="dcterms:W3CDTF">2025-05-06T13:52:00Z</dcterms:modified>
</cp:coreProperties>
</file>