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F0" w:rsidRDefault="0057447F" w:rsidP="00275F35">
      <w:pPr>
        <w:spacing w:before="120" w:after="120" w:line="360" w:lineRule="auto"/>
        <w:jc w:val="center"/>
        <w:rPr>
          <w:b/>
          <w:sz w:val="32"/>
          <w:lang w:val="en-IE"/>
        </w:rPr>
      </w:pPr>
      <w:r w:rsidRPr="00A82830">
        <w:rPr>
          <w:b/>
          <w:sz w:val="32"/>
          <w:lang w:val="en-IE"/>
        </w:rPr>
        <w:t xml:space="preserve">IPCO: </w:t>
      </w:r>
      <w:r w:rsidRPr="00A82830">
        <w:rPr>
          <w:b/>
          <w:sz w:val="32"/>
          <w:lang w:val="en-IE"/>
        </w:rPr>
        <w:t>Inference of Pathways from Co-variance Analysis</w:t>
      </w:r>
    </w:p>
    <w:p w:rsidR="00A82830" w:rsidRDefault="00A82830" w:rsidP="00275F35">
      <w:pPr>
        <w:spacing w:before="120" w:after="120" w:line="360" w:lineRule="auto"/>
        <w:jc w:val="center"/>
        <w:rPr>
          <w:b/>
          <w:lang w:val="en-IE"/>
        </w:rPr>
      </w:pPr>
    </w:p>
    <w:p w:rsidR="0057447F" w:rsidRDefault="0057447F" w:rsidP="00275F35">
      <w:pPr>
        <w:spacing w:before="120" w:after="120" w:line="360" w:lineRule="auto"/>
        <w:jc w:val="both"/>
        <w:rPr>
          <w:lang w:val="en-IE"/>
        </w:rPr>
      </w:pPr>
      <w:r>
        <w:rPr>
          <w:lang w:val="en-IE"/>
        </w:rPr>
        <w:t>IPCO is an open-source R library that infers functionality for a 16S dataset. IPCO can be implemented using internal or external reference data as per convenience. The references provided in IPCO are generated with UniRef90 database and the largest and manually curated MetaCyc mapping file provided along with HUMAnN2. It implements a doubl</w:t>
      </w:r>
      <w:r w:rsidR="00A82830">
        <w:rPr>
          <w:lang w:val="en-IE"/>
        </w:rPr>
        <w:t>e co-inertia methodology on the reference taxonomy and functionality database and co-varies with the queried data. The latest version can be downloaded from GitHub (</w:t>
      </w:r>
      <w:hyperlink r:id="rId5" w:history="1">
        <w:r w:rsidR="00A82830" w:rsidRPr="009B254E">
          <w:rPr>
            <w:rStyle w:val="Hyperlink"/>
            <w:lang w:val="en-IE"/>
          </w:rPr>
          <w:t>https://github.com/IPCO-Rlibrary/IPCO</w:t>
        </w:r>
      </w:hyperlink>
      <w:r w:rsidR="00A82830">
        <w:rPr>
          <w:lang w:val="en-IE"/>
        </w:rPr>
        <w:t xml:space="preserve">). </w:t>
      </w:r>
    </w:p>
    <w:p w:rsidR="00A82830" w:rsidRDefault="00A82830" w:rsidP="00275F35">
      <w:pPr>
        <w:spacing w:before="120" w:after="120" w:line="360" w:lineRule="auto"/>
        <w:jc w:val="both"/>
        <w:rPr>
          <w:lang w:val="en-IE"/>
        </w:rPr>
      </w:pPr>
      <w:r w:rsidRPr="00A82830">
        <w:rPr>
          <w:b/>
          <w:lang w:val="en-IE"/>
        </w:rPr>
        <w:t>For Correspondence</w:t>
      </w:r>
      <w:r>
        <w:rPr>
          <w:lang w:val="en-IE"/>
        </w:rPr>
        <w:t xml:space="preserve"> Dr Ian B. Jeffery (</w:t>
      </w:r>
      <w:hyperlink r:id="rId6" w:history="1">
        <w:r w:rsidRPr="009B254E">
          <w:rPr>
            <w:rStyle w:val="Hyperlink"/>
            <w:lang w:val="en-IE"/>
          </w:rPr>
          <w:t>i.jeffery@ucc.ie</w:t>
        </w:r>
      </w:hyperlink>
      <w:r>
        <w:rPr>
          <w:lang w:val="en-IE"/>
        </w:rPr>
        <w:t>)</w:t>
      </w:r>
    </w:p>
    <w:p w:rsidR="00125D2E" w:rsidRPr="00B174E9" w:rsidRDefault="00125D2E" w:rsidP="00275F35">
      <w:pPr>
        <w:spacing w:before="120" w:after="120" w:line="360" w:lineRule="auto"/>
        <w:jc w:val="both"/>
        <w:rPr>
          <w:b/>
          <w:lang w:val="en-IE"/>
        </w:rPr>
      </w:pPr>
    </w:p>
    <w:p w:rsidR="00A82830" w:rsidRDefault="00A82830" w:rsidP="00275F35">
      <w:pPr>
        <w:spacing w:before="120" w:after="120" w:line="360" w:lineRule="auto"/>
        <w:jc w:val="both"/>
        <w:rPr>
          <w:b/>
          <w:lang w:val="en-IE"/>
        </w:rPr>
      </w:pPr>
      <w:r w:rsidRPr="00A82830">
        <w:rPr>
          <w:b/>
          <w:lang w:val="en-IE"/>
        </w:rPr>
        <w:t>Requirements</w:t>
      </w:r>
    </w:p>
    <w:p w:rsidR="00A82830" w:rsidRDefault="00A82830" w:rsidP="00275F35">
      <w:pPr>
        <w:pStyle w:val="ListParagraph"/>
        <w:numPr>
          <w:ilvl w:val="0"/>
          <w:numId w:val="1"/>
        </w:numPr>
        <w:spacing w:before="120" w:after="120" w:line="360" w:lineRule="auto"/>
        <w:jc w:val="both"/>
        <w:rPr>
          <w:lang w:val="en-IE"/>
        </w:rPr>
      </w:pPr>
      <w:r>
        <w:rPr>
          <w:lang w:val="en-IE"/>
        </w:rPr>
        <w:t>R(v.3.5 or higher)</w:t>
      </w:r>
    </w:p>
    <w:p w:rsidR="00A82830" w:rsidRDefault="00A82830" w:rsidP="00275F35">
      <w:pPr>
        <w:pStyle w:val="ListParagraph"/>
        <w:numPr>
          <w:ilvl w:val="0"/>
          <w:numId w:val="1"/>
        </w:numPr>
        <w:spacing w:before="120" w:after="120" w:line="360" w:lineRule="auto"/>
        <w:jc w:val="both"/>
        <w:rPr>
          <w:lang w:val="en-IE"/>
        </w:rPr>
      </w:pPr>
      <w:r>
        <w:rPr>
          <w:lang w:val="en-IE"/>
        </w:rPr>
        <w:t xml:space="preserve">ade4 </w:t>
      </w:r>
      <w:r w:rsidR="00125D2E">
        <w:rPr>
          <w:lang w:val="en-IE"/>
        </w:rPr>
        <w:t xml:space="preserve">R </w:t>
      </w:r>
      <w:r>
        <w:rPr>
          <w:lang w:val="en-IE"/>
        </w:rPr>
        <w:t xml:space="preserve">library </w:t>
      </w:r>
    </w:p>
    <w:p w:rsidR="00125D2E" w:rsidRDefault="00125D2E" w:rsidP="00275F35">
      <w:pPr>
        <w:pStyle w:val="ListParagraph"/>
        <w:numPr>
          <w:ilvl w:val="0"/>
          <w:numId w:val="1"/>
        </w:numPr>
        <w:spacing w:before="120" w:after="120" w:line="360" w:lineRule="auto"/>
        <w:jc w:val="both"/>
        <w:rPr>
          <w:lang w:val="en-IE"/>
        </w:rPr>
      </w:pPr>
      <w:proofErr w:type="spellStart"/>
      <w:r>
        <w:rPr>
          <w:lang w:val="en-IE"/>
        </w:rPr>
        <w:t>devtools</w:t>
      </w:r>
      <w:proofErr w:type="spellEnd"/>
      <w:r>
        <w:rPr>
          <w:lang w:val="en-IE"/>
        </w:rPr>
        <w:t xml:space="preserve"> R library</w:t>
      </w:r>
    </w:p>
    <w:p w:rsidR="00A82830" w:rsidRDefault="00A82830" w:rsidP="00275F35">
      <w:pPr>
        <w:pStyle w:val="ListParagraph"/>
        <w:numPr>
          <w:ilvl w:val="0"/>
          <w:numId w:val="1"/>
        </w:numPr>
        <w:spacing w:before="120" w:after="120" w:line="360" w:lineRule="auto"/>
        <w:jc w:val="both"/>
        <w:rPr>
          <w:lang w:val="en-IE"/>
        </w:rPr>
      </w:pPr>
      <w:r>
        <w:rPr>
          <w:lang w:val="en-IE"/>
        </w:rPr>
        <w:t>A compatible taxonomic classification of the 16S data if using IPCO references</w:t>
      </w:r>
    </w:p>
    <w:p w:rsidR="00A82830" w:rsidRDefault="00A82830" w:rsidP="00275F35">
      <w:pPr>
        <w:pStyle w:val="ListParagraph"/>
        <w:numPr>
          <w:ilvl w:val="1"/>
          <w:numId w:val="1"/>
        </w:numPr>
        <w:spacing w:before="120" w:after="120" w:line="360" w:lineRule="auto"/>
        <w:jc w:val="both"/>
        <w:rPr>
          <w:lang w:val="en-IE"/>
        </w:rPr>
      </w:pPr>
      <w:r>
        <w:rPr>
          <w:lang w:val="en-IE"/>
        </w:rPr>
        <w:t>Closed reference OTUs (</w:t>
      </w:r>
      <w:proofErr w:type="spellStart"/>
      <w:r>
        <w:rPr>
          <w:lang w:val="en-IE"/>
        </w:rPr>
        <w:t>GreenGenes</w:t>
      </w:r>
      <w:proofErr w:type="spellEnd"/>
      <w:r>
        <w:rPr>
          <w:lang w:val="en-IE"/>
        </w:rPr>
        <w:t xml:space="preserve"> 13.5)</w:t>
      </w:r>
    </w:p>
    <w:p w:rsidR="00A82830" w:rsidRDefault="00A82830" w:rsidP="00275F35">
      <w:pPr>
        <w:pStyle w:val="ListParagraph"/>
        <w:numPr>
          <w:ilvl w:val="1"/>
          <w:numId w:val="1"/>
        </w:numPr>
        <w:spacing w:before="120" w:after="120" w:line="360" w:lineRule="auto"/>
        <w:jc w:val="both"/>
        <w:rPr>
          <w:lang w:val="en-IE"/>
        </w:rPr>
      </w:pPr>
      <w:r>
        <w:rPr>
          <w:lang w:val="en-IE"/>
        </w:rPr>
        <w:t>Species level classified data</w:t>
      </w:r>
    </w:p>
    <w:p w:rsidR="00A82830" w:rsidRDefault="00A82830" w:rsidP="00275F35">
      <w:pPr>
        <w:pStyle w:val="ListParagraph"/>
        <w:numPr>
          <w:ilvl w:val="1"/>
          <w:numId w:val="1"/>
        </w:numPr>
        <w:spacing w:before="120" w:after="120" w:line="360" w:lineRule="auto"/>
        <w:jc w:val="both"/>
        <w:rPr>
          <w:lang w:val="en-IE"/>
        </w:rPr>
      </w:pPr>
      <w:r>
        <w:rPr>
          <w:lang w:val="en-IE"/>
        </w:rPr>
        <w:t>Genus level classified data</w:t>
      </w:r>
    </w:p>
    <w:p w:rsidR="00A82830" w:rsidRDefault="00A82830" w:rsidP="00275F35">
      <w:pPr>
        <w:spacing w:before="120" w:after="120" w:line="360" w:lineRule="auto"/>
        <w:jc w:val="both"/>
        <w:rPr>
          <w:lang w:val="en-IE"/>
        </w:rPr>
      </w:pPr>
      <w:r>
        <w:rPr>
          <w:lang w:val="en-IE"/>
        </w:rPr>
        <w:t xml:space="preserve">If using in-house reference and 16S dataset, then point number </w:t>
      </w:r>
      <w:r w:rsidR="00B174E9">
        <w:rPr>
          <w:lang w:val="en-IE"/>
        </w:rPr>
        <w:t>4</w:t>
      </w:r>
      <w:r>
        <w:rPr>
          <w:lang w:val="en-IE"/>
        </w:rPr>
        <w:t xml:space="preserve"> is not mandatory.</w:t>
      </w:r>
    </w:p>
    <w:p w:rsidR="00125D2E" w:rsidRPr="00B174E9" w:rsidRDefault="00125D2E" w:rsidP="00275F35">
      <w:pPr>
        <w:spacing w:before="120" w:after="120" w:line="360" w:lineRule="auto"/>
        <w:jc w:val="both"/>
        <w:rPr>
          <w:lang w:val="en-IE"/>
        </w:rPr>
      </w:pPr>
    </w:p>
    <w:p w:rsidR="00125D2E" w:rsidRDefault="00125D2E" w:rsidP="00275F35">
      <w:pPr>
        <w:spacing w:before="120" w:after="120" w:line="360" w:lineRule="auto"/>
        <w:jc w:val="both"/>
        <w:rPr>
          <w:b/>
          <w:lang w:val="en-IE"/>
        </w:rPr>
      </w:pPr>
      <w:r w:rsidRPr="00125D2E">
        <w:rPr>
          <w:b/>
          <w:lang w:val="en-IE"/>
        </w:rPr>
        <w:t>Installation</w:t>
      </w:r>
    </w:p>
    <w:p w:rsidR="00125D2E" w:rsidRDefault="00125D2E" w:rsidP="00275F35">
      <w:pPr>
        <w:pStyle w:val="ListParagraph"/>
        <w:numPr>
          <w:ilvl w:val="0"/>
          <w:numId w:val="2"/>
        </w:numPr>
        <w:spacing w:before="120" w:after="120" w:line="360" w:lineRule="auto"/>
        <w:jc w:val="both"/>
        <w:rPr>
          <w:lang w:val="en-IE"/>
        </w:rPr>
      </w:pPr>
      <w:r>
        <w:rPr>
          <w:lang w:val="en-IE"/>
        </w:rPr>
        <w:t>Open R session</w:t>
      </w:r>
    </w:p>
    <w:p w:rsidR="00125D2E" w:rsidRDefault="00125D2E" w:rsidP="00275F35">
      <w:pPr>
        <w:pStyle w:val="ListParagraph"/>
        <w:numPr>
          <w:ilvl w:val="0"/>
          <w:numId w:val="2"/>
        </w:numPr>
        <w:spacing w:before="120" w:after="120" w:line="360" w:lineRule="auto"/>
        <w:jc w:val="both"/>
        <w:rPr>
          <w:lang w:val="en-IE"/>
        </w:rPr>
      </w:pPr>
      <w:r>
        <w:rPr>
          <w:lang w:val="en-IE"/>
        </w:rPr>
        <w:t xml:space="preserve">Load </w:t>
      </w:r>
      <w:r w:rsidRPr="00624ECD">
        <w:rPr>
          <w:b/>
          <w:lang w:val="en-IE"/>
        </w:rPr>
        <w:t>library(</w:t>
      </w:r>
      <w:proofErr w:type="spellStart"/>
      <w:r w:rsidRPr="00624ECD">
        <w:rPr>
          <w:b/>
          <w:lang w:val="en-IE"/>
        </w:rPr>
        <w:t>devtools</w:t>
      </w:r>
      <w:proofErr w:type="spellEnd"/>
      <w:r w:rsidRPr="00624ECD">
        <w:rPr>
          <w:b/>
          <w:lang w:val="en-IE"/>
        </w:rPr>
        <w:t>)</w:t>
      </w:r>
    </w:p>
    <w:p w:rsidR="00125D2E" w:rsidRPr="00624ECD" w:rsidRDefault="00624ECD" w:rsidP="00275F35">
      <w:pPr>
        <w:pStyle w:val="ListParagraph"/>
        <w:numPr>
          <w:ilvl w:val="0"/>
          <w:numId w:val="2"/>
        </w:numPr>
        <w:spacing w:before="120" w:after="120" w:line="360" w:lineRule="auto"/>
        <w:jc w:val="both"/>
        <w:rPr>
          <w:rFonts w:ascii="Tahoma" w:hAnsi="Tahoma" w:cs="Tahoma"/>
          <w:lang w:val="en-IE"/>
        </w:rPr>
      </w:pPr>
      <w:r w:rsidRPr="00624ECD">
        <w:rPr>
          <w:lang w:val="en-IE"/>
        </w:rPr>
        <w:t>Run</w:t>
      </w:r>
      <w:r w:rsidRPr="00624ECD">
        <w:rPr>
          <w:b/>
          <w:lang w:val="en-IE"/>
        </w:rPr>
        <w:t xml:space="preserve"> </w:t>
      </w:r>
      <w:proofErr w:type="spellStart"/>
      <w:r w:rsidR="00125D2E" w:rsidRPr="00624ECD">
        <w:rPr>
          <w:b/>
          <w:lang w:val="en-IE"/>
        </w:rPr>
        <w:t>install_github</w:t>
      </w:r>
      <w:proofErr w:type="spellEnd"/>
      <w:r w:rsidR="00125D2E" w:rsidRPr="00624ECD">
        <w:rPr>
          <w:b/>
          <w:lang w:val="en-IE"/>
        </w:rPr>
        <w:t>("</w:t>
      </w:r>
      <w:hyperlink r:id="rId7" w:history="1">
        <w:r w:rsidR="00125D2E" w:rsidRPr="00624ECD">
          <w:rPr>
            <w:rStyle w:val="Hyperlink"/>
            <w:b/>
            <w:lang w:val="en-IE"/>
          </w:rPr>
          <w:t>https://github.com/IPCO-Rlibrary/IPCO</w:t>
        </w:r>
      </w:hyperlink>
      <w:r w:rsidR="00125D2E" w:rsidRPr="00624ECD">
        <w:rPr>
          <w:b/>
          <w:lang w:val="en-IE"/>
        </w:rPr>
        <w:t>")</w:t>
      </w:r>
    </w:p>
    <w:p w:rsidR="00125D2E" w:rsidRDefault="00125D2E" w:rsidP="00275F35">
      <w:pPr>
        <w:pStyle w:val="ListParagraph"/>
        <w:numPr>
          <w:ilvl w:val="0"/>
          <w:numId w:val="2"/>
        </w:numPr>
        <w:spacing w:before="120" w:after="120" w:line="360" w:lineRule="auto"/>
        <w:jc w:val="both"/>
        <w:rPr>
          <w:lang w:val="en-IE"/>
        </w:rPr>
      </w:pPr>
      <w:r w:rsidRPr="00125D2E">
        <w:rPr>
          <w:lang w:val="en-IE"/>
        </w:rPr>
        <w:t>If compatible version of ade4 library is not install then it needs to be install first.</w:t>
      </w:r>
    </w:p>
    <w:p w:rsidR="00125D2E" w:rsidRPr="00125D2E" w:rsidRDefault="00125D2E" w:rsidP="00275F35">
      <w:pPr>
        <w:spacing w:before="120" w:after="120" w:line="360" w:lineRule="auto"/>
        <w:rPr>
          <w:b/>
          <w:lang w:val="en-IE"/>
        </w:rPr>
      </w:pPr>
      <w:r>
        <w:rPr>
          <w:lang w:val="en-IE"/>
        </w:rPr>
        <w:br w:type="page"/>
      </w:r>
      <w:r w:rsidRPr="00125D2E">
        <w:rPr>
          <w:b/>
          <w:lang w:val="en-IE"/>
        </w:rPr>
        <w:lastRenderedPageBreak/>
        <w:t xml:space="preserve">IPCO </w:t>
      </w:r>
      <w:r w:rsidR="003D29EB">
        <w:rPr>
          <w:b/>
          <w:lang w:val="en-IE"/>
        </w:rPr>
        <w:t>commands</w:t>
      </w:r>
    </w:p>
    <w:p w:rsidR="00125D2E" w:rsidRDefault="00125D2E" w:rsidP="00275F35">
      <w:pPr>
        <w:spacing w:before="120" w:after="120" w:line="360" w:lineRule="auto"/>
        <w:jc w:val="both"/>
        <w:rPr>
          <w:lang w:val="en-IE"/>
        </w:rPr>
      </w:pPr>
      <w:r>
        <w:rPr>
          <w:lang w:val="en-IE"/>
        </w:rPr>
        <w:t>The prediction is a single step process in IPCO, however, precursor</w:t>
      </w:r>
      <w:r w:rsidR="00106A00">
        <w:rPr>
          <w:lang w:val="en-IE"/>
        </w:rPr>
        <w:t xml:space="preserve"> and optional</w:t>
      </w:r>
      <w:r>
        <w:rPr>
          <w:lang w:val="en-IE"/>
        </w:rPr>
        <w:t xml:space="preserve"> steps involves loading the required reference data, normalisation</w:t>
      </w:r>
      <w:r w:rsidR="00106A00">
        <w:rPr>
          <w:lang w:val="en-IE"/>
        </w:rPr>
        <w:t>/transformation</w:t>
      </w:r>
      <w:r>
        <w:rPr>
          <w:lang w:val="en-IE"/>
        </w:rPr>
        <w:t xml:space="preserve"> of datasets</w:t>
      </w:r>
      <w:r w:rsidR="00106A00">
        <w:rPr>
          <w:lang w:val="en-IE"/>
        </w:rPr>
        <w:t>, filtering functionality based on coverage</w:t>
      </w:r>
      <w:r>
        <w:rPr>
          <w:lang w:val="en-IE"/>
        </w:rPr>
        <w:t xml:space="preserve"> and checking for covariance in reference if using in-house reference data.</w:t>
      </w:r>
    </w:p>
    <w:p w:rsidR="00624ECD" w:rsidRDefault="00624ECD" w:rsidP="00275F35">
      <w:pPr>
        <w:spacing w:before="120" w:after="120" w:line="360" w:lineRule="auto"/>
        <w:jc w:val="both"/>
        <w:rPr>
          <w:lang w:val="en-IE"/>
        </w:rPr>
      </w:pPr>
    </w:p>
    <w:p w:rsidR="00125D2E" w:rsidRDefault="00125D2E" w:rsidP="00275F35">
      <w:pPr>
        <w:pStyle w:val="ListParagraph"/>
        <w:numPr>
          <w:ilvl w:val="0"/>
          <w:numId w:val="3"/>
        </w:numPr>
        <w:spacing w:before="120" w:after="120" w:line="360" w:lineRule="auto"/>
        <w:ind w:left="284"/>
        <w:jc w:val="both"/>
        <w:rPr>
          <w:b/>
          <w:lang w:val="en-IE"/>
        </w:rPr>
      </w:pPr>
      <w:r w:rsidRPr="00624ECD">
        <w:rPr>
          <w:b/>
          <w:lang w:val="en-IE"/>
        </w:rPr>
        <w:t>Loading reference data</w:t>
      </w:r>
    </w:p>
    <w:p w:rsidR="00106A00" w:rsidRDefault="00106A00" w:rsidP="00275F35">
      <w:pPr>
        <w:pStyle w:val="ListParagraph"/>
        <w:spacing w:before="120" w:after="120" w:line="360" w:lineRule="auto"/>
        <w:ind w:left="284"/>
        <w:jc w:val="both"/>
        <w:rPr>
          <w:lang w:val="en-IE"/>
        </w:rPr>
      </w:pPr>
      <w:r>
        <w:rPr>
          <w:lang w:val="en-IE"/>
        </w:rPr>
        <w:t>Following reference data are provided with IPCO</w:t>
      </w:r>
    </w:p>
    <w:p w:rsidR="00106A00" w:rsidRDefault="00106A00" w:rsidP="00275F35">
      <w:pPr>
        <w:pStyle w:val="ListParagraph"/>
        <w:numPr>
          <w:ilvl w:val="0"/>
          <w:numId w:val="4"/>
        </w:numPr>
        <w:spacing w:before="120" w:after="120" w:line="360" w:lineRule="auto"/>
        <w:jc w:val="both"/>
        <w:rPr>
          <w:lang w:val="en-IE"/>
        </w:rPr>
      </w:pPr>
      <w:r>
        <w:rPr>
          <w:lang w:val="en-IE"/>
        </w:rPr>
        <w:t>Genus and species level, MetaCyc pathways and KEGG pathways abundance</w:t>
      </w:r>
      <w:r w:rsidR="00D12EA0">
        <w:rPr>
          <w:lang w:val="en-IE"/>
        </w:rPr>
        <w:t xml:space="preserve"> and coverage</w:t>
      </w:r>
      <w:r>
        <w:rPr>
          <w:lang w:val="en-IE"/>
        </w:rPr>
        <w:t xml:space="preserve"> table for a large cohort of healthy samples (n=1180)</w:t>
      </w:r>
    </w:p>
    <w:p w:rsidR="00106A00" w:rsidRDefault="00106A00" w:rsidP="00275F35">
      <w:pPr>
        <w:pStyle w:val="ListParagraph"/>
        <w:numPr>
          <w:ilvl w:val="0"/>
          <w:numId w:val="4"/>
        </w:numPr>
        <w:spacing w:before="120" w:after="120" w:line="360" w:lineRule="auto"/>
        <w:jc w:val="both"/>
        <w:rPr>
          <w:lang w:val="en-IE"/>
        </w:rPr>
      </w:pPr>
      <w:r>
        <w:rPr>
          <w:lang w:val="en-IE"/>
        </w:rPr>
        <w:t>HMP stool 16S (closed OTUs, genus and species level) and MetaCyc and KEGG pathways abundance</w:t>
      </w:r>
      <w:r w:rsidR="00D12EA0">
        <w:rPr>
          <w:lang w:val="en-IE"/>
        </w:rPr>
        <w:t xml:space="preserve"> and coverage datasets</w:t>
      </w:r>
    </w:p>
    <w:p w:rsidR="00106A00" w:rsidRDefault="00106A00" w:rsidP="00275F35">
      <w:pPr>
        <w:spacing w:before="120" w:after="120" w:line="360" w:lineRule="auto"/>
        <w:ind w:left="644"/>
        <w:jc w:val="both"/>
        <w:rPr>
          <w:lang w:val="en-IE"/>
        </w:rPr>
      </w:pPr>
      <w:r>
        <w:rPr>
          <w:lang w:val="en-IE"/>
        </w:rPr>
        <w:t>We also provide other datasets, however, they are automatically available for loading into R, but can be accessed manually from the IPCO/data folder in the installed location of the library.</w:t>
      </w:r>
    </w:p>
    <w:p w:rsidR="00275F35" w:rsidRDefault="00106A00" w:rsidP="00275F35">
      <w:pPr>
        <w:spacing w:before="120" w:after="120" w:line="360" w:lineRule="auto"/>
        <w:ind w:left="284"/>
        <w:jc w:val="both"/>
        <w:rPr>
          <w:lang w:val="en-IE"/>
        </w:rPr>
      </w:pPr>
      <w:r>
        <w:rPr>
          <w:lang w:val="en-IE"/>
        </w:rPr>
        <w:t>Usage</w:t>
      </w:r>
    </w:p>
    <w:p w:rsidR="00106A00" w:rsidRDefault="00106A00" w:rsidP="00275F35">
      <w:pPr>
        <w:spacing w:before="120" w:after="120" w:line="360" w:lineRule="auto"/>
        <w:ind w:left="284"/>
        <w:jc w:val="both"/>
        <w:rPr>
          <w:lang w:val="en-IE"/>
        </w:rPr>
      </w:pPr>
      <w:proofErr w:type="spellStart"/>
      <w:r w:rsidRPr="00624ECD">
        <w:rPr>
          <w:b/>
          <w:lang w:val="en-IE"/>
        </w:rPr>
        <w:t>load_</w:t>
      </w:r>
      <w:proofErr w:type="gramStart"/>
      <w:r w:rsidRPr="00624ECD">
        <w:rPr>
          <w:b/>
          <w:lang w:val="en-IE"/>
        </w:rPr>
        <w:t>ref</w:t>
      </w:r>
      <w:proofErr w:type="spellEnd"/>
      <w:r w:rsidRPr="00624ECD">
        <w:rPr>
          <w:b/>
          <w:lang w:val="en-IE"/>
        </w:rPr>
        <w:t>(</w:t>
      </w:r>
      <w:proofErr w:type="gramEnd"/>
      <w:r w:rsidRPr="00624ECD">
        <w:rPr>
          <w:b/>
          <w:lang w:val="en-IE"/>
        </w:rPr>
        <w:t>)</w:t>
      </w:r>
      <w:r w:rsidR="00275F35">
        <w:rPr>
          <w:lang w:val="en-IE"/>
        </w:rPr>
        <w:tab/>
      </w:r>
      <w:r>
        <w:rPr>
          <w:lang w:val="en-IE"/>
        </w:rPr>
        <w:t xml:space="preserve">loads the reference data for the cohort of healthy samples. </w:t>
      </w:r>
    </w:p>
    <w:p w:rsidR="00275F35" w:rsidRDefault="00106A00" w:rsidP="00275F35">
      <w:pPr>
        <w:spacing w:before="120" w:after="120" w:line="360" w:lineRule="auto"/>
        <w:ind w:left="284"/>
        <w:jc w:val="both"/>
        <w:rPr>
          <w:lang w:val="en-IE"/>
        </w:rPr>
      </w:pPr>
      <w:r>
        <w:rPr>
          <w:lang w:val="en-IE"/>
        </w:rPr>
        <w:t>Argument</w:t>
      </w:r>
    </w:p>
    <w:p w:rsidR="00106A00" w:rsidRDefault="00275F35" w:rsidP="00275F35">
      <w:pPr>
        <w:spacing w:before="120" w:after="120" w:line="360" w:lineRule="auto"/>
        <w:ind w:left="284"/>
        <w:jc w:val="both"/>
        <w:rPr>
          <w:lang w:val="en-IE"/>
        </w:rPr>
      </w:pPr>
      <w:proofErr w:type="gramStart"/>
      <w:r>
        <w:rPr>
          <w:b/>
          <w:lang w:val="en-IE"/>
        </w:rPr>
        <w:t>s</w:t>
      </w:r>
      <w:r w:rsidR="00106A00" w:rsidRPr="007D3140">
        <w:rPr>
          <w:b/>
          <w:lang w:val="en-IE"/>
        </w:rPr>
        <w:t>amples</w:t>
      </w:r>
      <w:proofErr w:type="gramEnd"/>
      <w:r>
        <w:rPr>
          <w:b/>
          <w:lang w:val="en-IE"/>
        </w:rPr>
        <w:tab/>
      </w:r>
      <w:r w:rsidR="00106A00">
        <w:rPr>
          <w:lang w:val="en-IE"/>
        </w:rPr>
        <w:t>loads HMP reference data</w:t>
      </w:r>
      <w:r>
        <w:rPr>
          <w:lang w:val="en-IE"/>
        </w:rPr>
        <w:t xml:space="preserve"> if samples=“HMP”</w:t>
      </w:r>
      <w:r w:rsidR="00106A00">
        <w:rPr>
          <w:lang w:val="en-IE"/>
        </w:rPr>
        <w:t xml:space="preserve">. </w:t>
      </w:r>
    </w:p>
    <w:p w:rsidR="00106A00" w:rsidRDefault="00106A00" w:rsidP="00275F35">
      <w:pPr>
        <w:spacing w:before="120" w:after="120" w:line="360" w:lineRule="auto"/>
        <w:ind w:left="284"/>
        <w:jc w:val="both"/>
        <w:rPr>
          <w:lang w:val="en-IE"/>
        </w:rPr>
      </w:pPr>
    </w:p>
    <w:p w:rsidR="00106A00" w:rsidRDefault="00106A00" w:rsidP="00275F35">
      <w:pPr>
        <w:spacing w:before="120" w:after="120" w:line="360" w:lineRule="auto"/>
        <w:ind w:left="284"/>
        <w:jc w:val="both"/>
        <w:rPr>
          <w:lang w:val="en-IE"/>
        </w:rPr>
      </w:pPr>
      <w:r>
        <w:rPr>
          <w:lang w:val="en-IE"/>
        </w:rPr>
        <w:t>The reference data loaded into the R environment will have labelled as</w:t>
      </w:r>
      <w:r w:rsidRPr="007D3140">
        <w:rPr>
          <w:color w:val="385623" w:themeColor="accent6" w:themeShade="80"/>
          <w:lang w:val="en-IE"/>
        </w:rPr>
        <w:t xml:space="preserve"> </w:t>
      </w:r>
      <w:proofErr w:type="spellStart"/>
      <w:r w:rsidRPr="007D3140">
        <w:rPr>
          <w:b/>
          <w:color w:val="385623" w:themeColor="accent6" w:themeShade="80"/>
          <w:lang w:val="en-IE"/>
        </w:rPr>
        <w:t>IPCO_Healthy</w:t>
      </w:r>
      <w:proofErr w:type="spellEnd"/>
      <w:r>
        <w:rPr>
          <w:lang w:val="en-IE"/>
        </w:rPr>
        <w:t xml:space="preserve"> which is a list object containing the following: </w:t>
      </w:r>
      <w:proofErr w:type="spellStart"/>
      <w:r w:rsidRPr="007D3140">
        <w:rPr>
          <w:color w:val="385623" w:themeColor="accent6" w:themeShade="80"/>
          <w:lang w:val="en-IE"/>
        </w:rPr>
        <w:t>IPCO_Healthy$Species</w:t>
      </w:r>
      <w:proofErr w:type="spellEnd"/>
      <w:r w:rsidRPr="007D3140">
        <w:rPr>
          <w:color w:val="385623" w:themeColor="accent6" w:themeShade="80"/>
          <w:lang w:val="en-IE"/>
        </w:rPr>
        <w:t xml:space="preserve">, </w:t>
      </w:r>
      <w:proofErr w:type="spellStart"/>
      <w:r w:rsidRPr="007D3140">
        <w:rPr>
          <w:color w:val="385623" w:themeColor="accent6" w:themeShade="80"/>
          <w:lang w:val="en-IE"/>
        </w:rPr>
        <w:t>IPCO_Healthy$Genus</w:t>
      </w:r>
      <w:proofErr w:type="spellEnd"/>
      <w:r w:rsidRPr="007D3140">
        <w:rPr>
          <w:color w:val="385623" w:themeColor="accent6" w:themeShade="80"/>
          <w:lang w:val="en-IE"/>
        </w:rPr>
        <w:t xml:space="preserve">, </w:t>
      </w:r>
      <w:proofErr w:type="spellStart"/>
      <w:r w:rsidRPr="007D3140">
        <w:rPr>
          <w:color w:val="385623" w:themeColor="accent6" w:themeShade="80"/>
          <w:lang w:val="en-IE"/>
        </w:rPr>
        <w:t>IPCO_Healthy$KEGG</w:t>
      </w:r>
      <w:proofErr w:type="spellEnd"/>
      <w:r w:rsidR="00D12EA0">
        <w:rPr>
          <w:lang w:val="en-IE"/>
        </w:rPr>
        <w:t>,</w:t>
      </w:r>
      <w:r>
        <w:rPr>
          <w:lang w:val="en-IE"/>
        </w:rPr>
        <w:t xml:space="preserve"> </w:t>
      </w:r>
      <w:proofErr w:type="spellStart"/>
      <w:r w:rsidRPr="007D3140">
        <w:rPr>
          <w:color w:val="385623" w:themeColor="accent6" w:themeShade="80"/>
          <w:lang w:val="en-IE"/>
        </w:rPr>
        <w:t>IPCO_Healthy$MetaCyc</w:t>
      </w:r>
      <w:proofErr w:type="spellEnd"/>
      <w:r w:rsidR="00D12EA0">
        <w:rPr>
          <w:color w:val="385623" w:themeColor="accent6" w:themeShade="80"/>
          <w:lang w:val="en-IE"/>
        </w:rPr>
        <w:t xml:space="preserve">, </w:t>
      </w:r>
      <w:proofErr w:type="spellStart"/>
      <w:r w:rsidR="00D12EA0">
        <w:rPr>
          <w:color w:val="385623" w:themeColor="accent6" w:themeShade="80"/>
          <w:lang w:val="en-IE"/>
        </w:rPr>
        <w:t>IPCO_Healthy$KEGG_coverage</w:t>
      </w:r>
      <w:proofErr w:type="spellEnd"/>
      <w:r w:rsidR="00D12EA0">
        <w:rPr>
          <w:color w:val="385623" w:themeColor="accent6" w:themeShade="80"/>
          <w:lang w:val="en-IE"/>
        </w:rPr>
        <w:t xml:space="preserve"> </w:t>
      </w:r>
      <w:r w:rsidR="00D12EA0" w:rsidRPr="00D12EA0">
        <w:rPr>
          <w:lang w:val="en-IE"/>
        </w:rPr>
        <w:t>and</w:t>
      </w:r>
      <w:r w:rsidR="00D12EA0">
        <w:rPr>
          <w:color w:val="385623" w:themeColor="accent6" w:themeShade="80"/>
          <w:lang w:val="en-IE"/>
        </w:rPr>
        <w:t xml:space="preserve"> </w:t>
      </w:r>
      <w:proofErr w:type="spellStart"/>
      <w:r w:rsidR="00D12EA0">
        <w:rPr>
          <w:color w:val="385623" w:themeColor="accent6" w:themeShade="80"/>
          <w:lang w:val="en-IE"/>
        </w:rPr>
        <w:t>IPCO_Healthy$MetaCyc_coverage</w:t>
      </w:r>
      <w:proofErr w:type="spellEnd"/>
      <w:r>
        <w:rPr>
          <w:lang w:val="en-IE"/>
        </w:rPr>
        <w:t xml:space="preserve">. All objects in the list are matrices. Species and Genus matrices in the </w:t>
      </w:r>
      <w:proofErr w:type="spellStart"/>
      <w:r>
        <w:rPr>
          <w:lang w:val="en-IE"/>
        </w:rPr>
        <w:t>IPCO_Healthy</w:t>
      </w:r>
      <w:proofErr w:type="spellEnd"/>
      <w:r>
        <w:rPr>
          <w:lang w:val="en-IE"/>
        </w:rPr>
        <w:t xml:space="preserve"> list are generated from shotgun profiles.</w:t>
      </w:r>
    </w:p>
    <w:p w:rsidR="00106A00" w:rsidRDefault="00106A00" w:rsidP="00275F35">
      <w:pPr>
        <w:pStyle w:val="ListParagraph"/>
        <w:spacing w:before="120" w:after="120" w:line="360" w:lineRule="auto"/>
        <w:ind w:left="284"/>
        <w:jc w:val="both"/>
        <w:rPr>
          <w:lang w:val="en-IE"/>
        </w:rPr>
      </w:pPr>
      <w:r>
        <w:rPr>
          <w:lang w:val="en-IE"/>
        </w:rPr>
        <w:t xml:space="preserve">If HMP data is load, the object is a list object labelled </w:t>
      </w:r>
      <w:r w:rsidRPr="007D3140">
        <w:rPr>
          <w:b/>
          <w:lang w:val="en-IE"/>
        </w:rPr>
        <w:t>IPCO_HMP</w:t>
      </w:r>
      <w:r>
        <w:rPr>
          <w:b/>
          <w:lang w:val="en-IE"/>
        </w:rPr>
        <w:t xml:space="preserve"> </w:t>
      </w:r>
      <w:r>
        <w:rPr>
          <w:lang w:val="en-IE"/>
        </w:rPr>
        <w:t>containing the following:</w:t>
      </w:r>
      <w:r w:rsidRPr="007D3140">
        <w:rPr>
          <w:b/>
          <w:lang w:val="en-IE"/>
        </w:rPr>
        <w:t xml:space="preserve"> </w:t>
      </w:r>
      <w:r w:rsidRPr="007D3140">
        <w:rPr>
          <w:color w:val="385623" w:themeColor="accent6" w:themeShade="80"/>
          <w:lang w:val="en-IE"/>
        </w:rPr>
        <w:t>IPCO_HMP$closed_16S, IPCO_HMP$Species_16S, IPCO_HMP$Genus_16S,</w:t>
      </w:r>
      <w:r>
        <w:rPr>
          <w:lang w:val="en-IE"/>
        </w:rPr>
        <w:t xml:space="preserve"> </w:t>
      </w:r>
      <w:proofErr w:type="spellStart"/>
      <w:r w:rsidRPr="007D3140">
        <w:rPr>
          <w:color w:val="385623" w:themeColor="accent6" w:themeShade="80"/>
          <w:lang w:val="en-IE"/>
        </w:rPr>
        <w:t>IPCO_HMP$Species</w:t>
      </w:r>
      <w:proofErr w:type="spellEnd"/>
      <w:r w:rsidRPr="007D3140">
        <w:rPr>
          <w:color w:val="385623" w:themeColor="accent6" w:themeShade="80"/>
          <w:lang w:val="en-IE"/>
        </w:rPr>
        <w:t xml:space="preserve">, </w:t>
      </w:r>
      <w:proofErr w:type="spellStart"/>
      <w:r w:rsidRPr="007D3140">
        <w:rPr>
          <w:color w:val="385623" w:themeColor="accent6" w:themeShade="80"/>
          <w:lang w:val="en-IE"/>
        </w:rPr>
        <w:t>IPCO_HMP$Genus</w:t>
      </w:r>
      <w:proofErr w:type="spellEnd"/>
      <w:r w:rsidRPr="007D3140">
        <w:rPr>
          <w:color w:val="385623" w:themeColor="accent6" w:themeShade="80"/>
          <w:lang w:val="en-IE"/>
        </w:rPr>
        <w:t xml:space="preserve">, </w:t>
      </w:r>
      <w:proofErr w:type="spellStart"/>
      <w:r w:rsidRPr="007D3140">
        <w:rPr>
          <w:color w:val="385623" w:themeColor="accent6" w:themeShade="80"/>
          <w:lang w:val="en-IE"/>
        </w:rPr>
        <w:t>IPCO_HMP$MetaCyc</w:t>
      </w:r>
      <w:proofErr w:type="spellEnd"/>
      <w:r w:rsidR="00D12EA0">
        <w:rPr>
          <w:color w:val="385623" w:themeColor="accent6" w:themeShade="80"/>
          <w:lang w:val="en-IE"/>
        </w:rPr>
        <w:t xml:space="preserve">, </w:t>
      </w:r>
      <w:r w:rsidR="00D12EA0" w:rsidRPr="007D3140">
        <w:rPr>
          <w:color w:val="385623" w:themeColor="accent6" w:themeShade="80"/>
          <w:lang w:val="en-IE"/>
        </w:rPr>
        <w:t>IPCO_HMP$KEGG</w:t>
      </w:r>
      <w:r w:rsidR="00D12EA0" w:rsidRPr="00D12EA0">
        <w:rPr>
          <w:color w:val="385623" w:themeColor="accent6" w:themeShade="80"/>
          <w:lang w:val="en-IE"/>
        </w:rPr>
        <w:t xml:space="preserve"> </w:t>
      </w:r>
      <w:proofErr w:type="spellStart"/>
      <w:r w:rsidR="00D12EA0">
        <w:rPr>
          <w:color w:val="385623" w:themeColor="accent6" w:themeShade="80"/>
          <w:lang w:val="en-IE"/>
        </w:rPr>
        <w:t>IPCO_H</w:t>
      </w:r>
      <w:r w:rsidR="00D12EA0">
        <w:rPr>
          <w:color w:val="385623" w:themeColor="accent6" w:themeShade="80"/>
          <w:lang w:val="en-IE"/>
        </w:rPr>
        <w:t>MP</w:t>
      </w:r>
      <w:r w:rsidR="00D12EA0">
        <w:rPr>
          <w:color w:val="385623" w:themeColor="accent6" w:themeShade="80"/>
          <w:lang w:val="en-IE"/>
        </w:rPr>
        <w:t>$KEGG_coverage</w:t>
      </w:r>
      <w:proofErr w:type="spellEnd"/>
      <w:r w:rsidR="00D12EA0">
        <w:rPr>
          <w:color w:val="385623" w:themeColor="accent6" w:themeShade="80"/>
          <w:lang w:val="en-IE"/>
        </w:rPr>
        <w:t xml:space="preserve"> </w:t>
      </w:r>
      <w:r w:rsidR="00D12EA0" w:rsidRPr="00D12EA0">
        <w:rPr>
          <w:lang w:val="en-IE"/>
        </w:rPr>
        <w:t>and</w:t>
      </w:r>
      <w:r w:rsidR="00D12EA0">
        <w:rPr>
          <w:color w:val="385623" w:themeColor="accent6" w:themeShade="80"/>
          <w:lang w:val="en-IE"/>
        </w:rPr>
        <w:t xml:space="preserve"> </w:t>
      </w:r>
      <w:proofErr w:type="spellStart"/>
      <w:r w:rsidR="00D12EA0">
        <w:rPr>
          <w:color w:val="385623" w:themeColor="accent6" w:themeShade="80"/>
          <w:lang w:val="en-IE"/>
        </w:rPr>
        <w:t>IPCO_H</w:t>
      </w:r>
      <w:r w:rsidR="00D12EA0">
        <w:rPr>
          <w:color w:val="385623" w:themeColor="accent6" w:themeShade="80"/>
          <w:lang w:val="en-IE"/>
        </w:rPr>
        <w:t>MP</w:t>
      </w:r>
      <w:r w:rsidR="00D12EA0">
        <w:rPr>
          <w:color w:val="385623" w:themeColor="accent6" w:themeShade="80"/>
          <w:lang w:val="en-IE"/>
        </w:rPr>
        <w:t>$MetaCyc_coverage</w:t>
      </w:r>
      <w:proofErr w:type="spellEnd"/>
      <w:r>
        <w:rPr>
          <w:lang w:val="en-IE"/>
        </w:rPr>
        <w:t xml:space="preserve">. All objects in the </w:t>
      </w:r>
      <w:r>
        <w:rPr>
          <w:lang w:val="en-IE"/>
        </w:rPr>
        <w:lastRenderedPageBreak/>
        <w:t xml:space="preserve">IPCO_HMP list are matrices. Species_16S and Genus_16S matrices are generated by mapping </w:t>
      </w:r>
      <w:proofErr w:type="spellStart"/>
      <w:r>
        <w:rPr>
          <w:lang w:val="en-IE"/>
        </w:rPr>
        <w:t>denovo</w:t>
      </w:r>
      <w:proofErr w:type="spellEnd"/>
      <w:r>
        <w:rPr>
          <w:lang w:val="en-IE"/>
        </w:rPr>
        <w:t xml:space="preserve"> OTUs to RDP database. By mapping the </w:t>
      </w:r>
      <w:proofErr w:type="spellStart"/>
      <w:r>
        <w:rPr>
          <w:lang w:val="en-IE"/>
        </w:rPr>
        <w:t>denovo</w:t>
      </w:r>
      <w:proofErr w:type="spellEnd"/>
      <w:r>
        <w:rPr>
          <w:lang w:val="en-IE"/>
        </w:rPr>
        <w:t xml:space="preserve"> OTUs to </w:t>
      </w:r>
      <w:proofErr w:type="spellStart"/>
      <w:r>
        <w:rPr>
          <w:lang w:val="en-IE"/>
        </w:rPr>
        <w:t>GreenGenes</w:t>
      </w:r>
      <w:proofErr w:type="spellEnd"/>
      <w:r>
        <w:rPr>
          <w:lang w:val="en-IE"/>
        </w:rPr>
        <w:t>, closed_16S matrix is regenerated. Species and Genus labelled matrices are obtained from shotgun profiles.</w:t>
      </w:r>
    </w:p>
    <w:p w:rsidR="00106A00" w:rsidRDefault="00106A00" w:rsidP="00275F35">
      <w:pPr>
        <w:pStyle w:val="ListParagraph"/>
        <w:spacing w:before="120" w:after="120" w:line="360" w:lineRule="auto"/>
        <w:ind w:left="284"/>
        <w:jc w:val="both"/>
        <w:rPr>
          <w:b/>
          <w:lang w:val="en-IE"/>
        </w:rPr>
      </w:pPr>
    </w:p>
    <w:p w:rsidR="00106A00" w:rsidRDefault="00106A00" w:rsidP="00275F35">
      <w:pPr>
        <w:pStyle w:val="ListParagraph"/>
        <w:numPr>
          <w:ilvl w:val="0"/>
          <w:numId w:val="3"/>
        </w:numPr>
        <w:spacing w:before="120" w:after="120" w:line="360" w:lineRule="auto"/>
        <w:ind w:left="284"/>
        <w:jc w:val="both"/>
        <w:rPr>
          <w:b/>
          <w:lang w:val="en-IE"/>
        </w:rPr>
      </w:pPr>
      <w:r>
        <w:rPr>
          <w:b/>
          <w:lang w:val="en-IE"/>
        </w:rPr>
        <w:t>Normalisation/transformation of the datasets</w:t>
      </w:r>
      <w:r w:rsidR="00D12EA0">
        <w:rPr>
          <w:b/>
          <w:lang w:val="en-IE"/>
        </w:rPr>
        <w:t xml:space="preserve"> (optional)</w:t>
      </w:r>
    </w:p>
    <w:p w:rsidR="00106A00" w:rsidRDefault="00106A00" w:rsidP="00275F35">
      <w:pPr>
        <w:pStyle w:val="ListParagraph"/>
        <w:spacing w:before="120" w:after="120" w:line="360" w:lineRule="auto"/>
        <w:ind w:left="284"/>
        <w:jc w:val="both"/>
        <w:rPr>
          <w:lang w:val="en-IE"/>
        </w:rPr>
      </w:pPr>
      <w:r>
        <w:rPr>
          <w:lang w:val="en-IE"/>
        </w:rPr>
        <w:t xml:space="preserve">After loading the query and desired reference dataset, the datasets can be optionally normalised using </w:t>
      </w:r>
      <w:proofErr w:type="spellStart"/>
      <w:r w:rsidRPr="00106A00">
        <w:rPr>
          <w:b/>
          <w:lang w:val="en-IE"/>
        </w:rPr>
        <w:t>transform_</w:t>
      </w:r>
      <w:proofErr w:type="gramStart"/>
      <w:r w:rsidRPr="00106A00">
        <w:rPr>
          <w:b/>
          <w:lang w:val="en-IE"/>
        </w:rPr>
        <w:t>data</w:t>
      </w:r>
      <w:proofErr w:type="spellEnd"/>
      <w:r w:rsidRPr="00106A00">
        <w:rPr>
          <w:b/>
          <w:lang w:val="en-IE"/>
        </w:rPr>
        <w:t>(</w:t>
      </w:r>
      <w:proofErr w:type="gramEnd"/>
      <w:r w:rsidRPr="00106A00">
        <w:rPr>
          <w:b/>
          <w:lang w:val="en-IE"/>
        </w:rPr>
        <w:t>)</w:t>
      </w:r>
      <w:r>
        <w:rPr>
          <w:lang w:val="en-IE"/>
        </w:rPr>
        <w:t xml:space="preserve"> co</w:t>
      </w:r>
      <w:bookmarkStart w:id="0" w:name="_GoBack"/>
      <w:bookmarkEnd w:id="0"/>
      <w:r>
        <w:rPr>
          <w:lang w:val="en-IE"/>
        </w:rPr>
        <w:t>mmand which carries out Hellinger transformation as recommended. Alternatively the user is free to select any other transformation. The command</w:t>
      </w:r>
      <w:r w:rsidRPr="00106A00">
        <w:rPr>
          <w:b/>
          <w:lang w:val="en-IE"/>
        </w:rPr>
        <w:t xml:space="preserve"> </w:t>
      </w:r>
      <w:proofErr w:type="spellStart"/>
      <w:r w:rsidRPr="00106A00">
        <w:rPr>
          <w:b/>
          <w:lang w:val="en-IE"/>
        </w:rPr>
        <w:t>transform_</w:t>
      </w:r>
      <w:proofErr w:type="gramStart"/>
      <w:r w:rsidRPr="00106A00">
        <w:rPr>
          <w:b/>
          <w:lang w:val="en-IE"/>
        </w:rPr>
        <w:t>data</w:t>
      </w:r>
      <w:proofErr w:type="spellEnd"/>
      <w:r w:rsidRPr="00106A00">
        <w:rPr>
          <w:b/>
          <w:lang w:val="en-IE"/>
        </w:rPr>
        <w:t>(</w:t>
      </w:r>
      <w:proofErr w:type="gramEnd"/>
      <w:r w:rsidRPr="00106A00">
        <w:rPr>
          <w:b/>
          <w:lang w:val="en-IE"/>
        </w:rPr>
        <w:t>)</w:t>
      </w:r>
      <w:r>
        <w:rPr>
          <w:lang w:val="en-IE"/>
        </w:rPr>
        <w:t xml:space="preserve"> can only carry out Hellinger transformation from count, relative abundance or proportional dataset. </w:t>
      </w:r>
    </w:p>
    <w:p w:rsidR="00106A00" w:rsidRDefault="00106A00" w:rsidP="00275F35">
      <w:pPr>
        <w:pStyle w:val="ListParagraph"/>
        <w:spacing w:before="120" w:after="120" w:line="360" w:lineRule="auto"/>
        <w:ind w:left="284"/>
        <w:jc w:val="both"/>
        <w:rPr>
          <w:lang w:val="en-IE"/>
        </w:rPr>
      </w:pPr>
      <w:r w:rsidRPr="00106A00">
        <w:rPr>
          <w:lang w:val="en-IE"/>
        </w:rPr>
        <w:t>Usage</w:t>
      </w:r>
    </w:p>
    <w:p w:rsidR="00106A00" w:rsidRPr="00D12EA0" w:rsidRDefault="00106A00" w:rsidP="00275F35">
      <w:pPr>
        <w:pStyle w:val="ListParagraph"/>
        <w:spacing w:before="120" w:after="120" w:line="360" w:lineRule="auto"/>
        <w:ind w:left="284"/>
        <w:jc w:val="both"/>
        <w:rPr>
          <w:b/>
          <w:lang w:val="en-IE"/>
        </w:rPr>
      </w:pPr>
      <w:proofErr w:type="spellStart"/>
      <w:r w:rsidRPr="00D12EA0">
        <w:rPr>
          <w:b/>
          <w:lang w:val="en-IE"/>
        </w:rPr>
        <w:t>transform_</w:t>
      </w:r>
      <w:proofErr w:type="gramStart"/>
      <w:r w:rsidRPr="00D12EA0">
        <w:rPr>
          <w:b/>
          <w:lang w:val="en-IE"/>
        </w:rPr>
        <w:t>data</w:t>
      </w:r>
      <w:proofErr w:type="spellEnd"/>
      <w:r w:rsidRPr="00D12EA0">
        <w:rPr>
          <w:b/>
          <w:lang w:val="en-IE"/>
        </w:rPr>
        <w:t>(</w:t>
      </w:r>
      <w:proofErr w:type="gramEnd"/>
      <w:r w:rsidRPr="00D12EA0">
        <w:rPr>
          <w:b/>
          <w:lang w:val="en-IE"/>
        </w:rPr>
        <w:t>dataset, type)</w:t>
      </w:r>
    </w:p>
    <w:p w:rsidR="00D12EA0" w:rsidRDefault="00106A00" w:rsidP="00275F35">
      <w:pPr>
        <w:pStyle w:val="ListParagraph"/>
        <w:spacing w:before="120" w:after="120" w:line="360" w:lineRule="auto"/>
        <w:ind w:left="284"/>
        <w:jc w:val="both"/>
        <w:rPr>
          <w:lang w:val="en-IE"/>
        </w:rPr>
      </w:pPr>
      <w:r w:rsidRPr="00106A00">
        <w:rPr>
          <w:lang w:val="en-IE"/>
        </w:rPr>
        <w:t>Arguments</w:t>
      </w:r>
      <w:r>
        <w:rPr>
          <w:lang w:val="en-IE"/>
        </w:rPr>
        <w:t xml:space="preserve"> </w:t>
      </w:r>
    </w:p>
    <w:p w:rsidR="00106A00" w:rsidRPr="00D12EA0" w:rsidRDefault="00275F35" w:rsidP="00275F35">
      <w:pPr>
        <w:pStyle w:val="ListParagraph"/>
        <w:spacing w:before="120" w:after="120" w:line="360" w:lineRule="auto"/>
        <w:ind w:left="284"/>
        <w:jc w:val="both"/>
        <w:rPr>
          <w:lang w:val="en-IE"/>
        </w:rPr>
      </w:pPr>
      <w:proofErr w:type="gramStart"/>
      <w:r>
        <w:rPr>
          <w:b/>
          <w:lang w:val="en-IE"/>
        </w:rPr>
        <w:t>d</w:t>
      </w:r>
      <w:r w:rsidR="00D12EA0" w:rsidRPr="00D12EA0">
        <w:rPr>
          <w:b/>
          <w:lang w:val="en-IE"/>
        </w:rPr>
        <w:t>ataset</w:t>
      </w:r>
      <w:proofErr w:type="gramEnd"/>
      <w:r w:rsidR="00D12EA0">
        <w:rPr>
          <w:lang w:val="en-IE"/>
        </w:rPr>
        <w:tab/>
      </w:r>
      <w:proofErr w:type="spellStart"/>
      <w:r w:rsidR="00D12EA0">
        <w:rPr>
          <w:lang w:val="en-IE"/>
        </w:rPr>
        <w:t>D</w:t>
      </w:r>
      <w:r w:rsidR="00106A00" w:rsidRPr="00D12EA0">
        <w:rPr>
          <w:lang w:val="en-IE"/>
        </w:rPr>
        <w:t>ataset</w:t>
      </w:r>
      <w:proofErr w:type="spellEnd"/>
      <w:r w:rsidR="00106A00" w:rsidRPr="00D12EA0">
        <w:rPr>
          <w:lang w:val="en-IE"/>
        </w:rPr>
        <w:t xml:space="preserve"> where rows are functions/pathways/OTUs and columns are samples</w:t>
      </w:r>
      <w:r w:rsidR="00D12EA0">
        <w:rPr>
          <w:lang w:val="en-IE"/>
        </w:rPr>
        <w:t>.</w:t>
      </w:r>
    </w:p>
    <w:p w:rsidR="00106A00" w:rsidRPr="00106A00" w:rsidRDefault="00D12EA0" w:rsidP="00275F35">
      <w:pPr>
        <w:pStyle w:val="ListParagraph"/>
        <w:spacing w:before="120" w:after="120" w:line="360" w:lineRule="auto"/>
        <w:ind w:left="1418" w:hanging="1134"/>
        <w:jc w:val="both"/>
        <w:rPr>
          <w:lang w:val="en-IE"/>
        </w:rPr>
      </w:pPr>
      <w:proofErr w:type="gramStart"/>
      <w:r w:rsidRPr="00D12EA0">
        <w:rPr>
          <w:b/>
          <w:lang w:val="en-IE"/>
        </w:rPr>
        <w:t>t</w:t>
      </w:r>
      <w:r w:rsidR="00106A00" w:rsidRPr="00D12EA0">
        <w:rPr>
          <w:b/>
          <w:lang w:val="en-IE"/>
        </w:rPr>
        <w:t>ype</w:t>
      </w:r>
      <w:proofErr w:type="gramEnd"/>
      <w:r>
        <w:rPr>
          <w:lang w:val="en-IE"/>
        </w:rPr>
        <w:tab/>
      </w:r>
      <w:r w:rsidR="00106A00" w:rsidRPr="00106A00">
        <w:rPr>
          <w:lang w:val="en-IE"/>
        </w:rPr>
        <w:t xml:space="preserve">Enter the type of your dataset values: proportion, counts or </w:t>
      </w:r>
      <w:proofErr w:type="spellStart"/>
      <w:r w:rsidR="00106A00" w:rsidRPr="00106A00">
        <w:rPr>
          <w:lang w:val="en-IE"/>
        </w:rPr>
        <w:t>relab</w:t>
      </w:r>
      <w:proofErr w:type="spellEnd"/>
      <w:r w:rsidR="00106A00" w:rsidRPr="00106A00">
        <w:rPr>
          <w:lang w:val="en-IE"/>
        </w:rPr>
        <w:t xml:space="preserve"> (relative abundance)</w:t>
      </w:r>
      <w:r>
        <w:rPr>
          <w:lang w:val="en-IE"/>
        </w:rPr>
        <w:t>.</w:t>
      </w:r>
    </w:p>
    <w:p w:rsidR="00106A00" w:rsidRDefault="00106A00" w:rsidP="00275F35">
      <w:pPr>
        <w:pStyle w:val="ListParagraph"/>
        <w:spacing w:before="120" w:after="120" w:line="360" w:lineRule="auto"/>
        <w:ind w:left="284"/>
        <w:jc w:val="both"/>
        <w:rPr>
          <w:lang w:val="en-IE"/>
        </w:rPr>
      </w:pPr>
      <w:r w:rsidRPr="00D12EA0">
        <w:rPr>
          <w:b/>
          <w:lang w:val="en-IE"/>
        </w:rPr>
        <w:t>Requires</w:t>
      </w:r>
      <w:r w:rsidRPr="00106A00">
        <w:rPr>
          <w:lang w:val="en-IE"/>
        </w:rPr>
        <w:t xml:space="preserve"> </w:t>
      </w:r>
      <w:r w:rsidRPr="00106A00">
        <w:rPr>
          <w:lang w:val="en-IE"/>
        </w:rPr>
        <w:tab/>
      </w:r>
      <w:r w:rsidR="00D12EA0">
        <w:rPr>
          <w:lang w:val="en-IE"/>
        </w:rPr>
        <w:t>T</w:t>
      </w:r>
      <w:r w:rsidRPr="00106A00">
        <w:rPr>
          <w:lang w:val="en-IE"/>
        </w:rPr>
        <w:t>he dataset to be transformed and the type of values present in it.</w:t>
      </w:r>
    </w:p>
    <w:p w:rsidR="00106A00" w:rsidRDefault="00106A00" w:rsidP="00275F35">
      <w:pPr>
        <w:pStyle w:val="ListParagraph"/>
        <w:spacing w:before="120" w:after="120" w:line="360" w:lineRule="auto"/>
        <w:ind w:left="284"/>
        <w:jc w:val="both"/>
        <w:rPr>
          <w:lang w:val="en-IE"/>
        </w:rPr>
      </w:pPr>
    </w:p>
    <w:p w:rsidR="00106A00" w:rsidRDefault="00106A00" w:rsidP="00275F35">
      <w:pPr>
        <w:pStyle w:val="ListParagraph"/>
        <w:spacing w:before="120" w:after="120" w:line="360" w:lineRule="auto"/>
        <w:ind w:left="284"/>
        <w:jc w:val="both"/>
        <w:rPr>
          <w:lang w:val="en-IE"/>
        </w:rPr>
      </w:pPr>
      <w:r w:rsidRPr="003D29EB">
        <w:rPr>
          <w:b/>
          <w:lang w:val="en-IE"/>
        </w:rPr>
        <w:t>Note:</w:t>
      </w:r>
      <w:r>
        <w:rPr>
          <w:lang w:val="en-IE"/>
        </w:rPr>
        <w:t xml:space="preserve"> The </w:t>
      </w:r>
      <w:r w:rsidR="003D29EB">
        <w:rPr>
          <w:lang w:val="en-IE"/>
        </w:rPr>
        <w:t xml:space="preserve">provided </w:t>
      </w:r>
      <w:r>
        <w:rPr>
          <w:lang w:val="en-IE"/>
        </w:rPr>
        <w:t>reference functional and shotgun taxonomy datasets are relative abundance and 16S HMP references are count data.</w:t>
      </w:r>
    </w:p>
    <w:p w:rsidR="00106A00" w:rsidRPr="00106A00" w:rsidRDefault="00106A00" w:rsidP="00275F35">
      <w:pPr>
        <w:pStyle w:val="ListParagraph"/>
        <w:spacing w:before="120" w:after="120" w:line="360" w:lineRule="auto"/>
        <w:ind w:left="284"/>
        <w:jc w:val="both"/>
        <w:rPr>
          <w:lang w:val="en-IE"/>
        </w:rPr>
      </w:pPr>
    </w:p>
    <w:p w:rsidR="00106A00" w:rsidRDefault="00D12EA0" w:rsidP="00275F35">
      <w:pPr>
        <w:pStyle w:val="ListParagraph"/>
        <w:numPr>
          <w:ilvl w:val="0"/>
          <w:numId w:val="3"/>
        </w:numPr>
        <w:spacing w:before="120" w:after="120" w:line="360" w:lineRule="auto"/>
        <w:ind w:left="284"/>
        <w:jc w:val="both"/>
        <w:rPr>
          <w:b/>
          <w:lang w:val="en-IE"/>
        </w:rPr>
      </w:pPr>
      <w:r>
        <w:rPr>
          <w:b/>
          <w:lang w:val="en-IE"/>
        </w:rPr>
        <w:t>Filtering functionality based on coverage (optional)</w:t>
      </w:r>
    </w:p>
    <w:p w:rsidR="00D12EA0" w:rsidRDefault="00D12EA0" w:rsidP="00275F35">
      <w:pPr>
        <w:pStyle w:val="ListParagraph"/>
        <w:spacing w:before="120" w:after="120" w:line="360" w:lineRule="auto"/>
        <w:ind w:left="284"/>
        <w:jc w:val="both"/>
        <w:rPr>
          <w:lang w:val="en-IE"/>
        </w:rPr>
      </w:pPr>
      <w:r>
        <w:rPr>
          <w:lang w:val="en-IE"/>
        </w:rPr>
        <w:t xml:space="preserve">The pathways with low coverage can be filtered using </w:t>
      </w:r>
      <w:proofErr w:type="spellStart"/>
      <w:r w:rsidRPr="00D12EA0">
        <w:rPr>
          <w:b/>
          <w:lang w:val="en-IE"/>
        </w:rPr>
        <w:t>filter_</w:t>
      </w:r>
      <w:proofErr w:type="gramStart"/>
      <w:r w:rsidRPr="00D12EA0">
        <w:rPr>
          <w:b/>
          <w:lang w:val="en-IE"/>
        </w:rPr>
        <w:t>functionality</w:t>
      </w:r>
      <w:proofErr w:type="spellEnd"/>
      <w:r w:rsidRPr="00D12EA0">
        <w:rPr>
          <w:b/>
          <w:lang w:val="en-IE"/>
        </w:rPr>
        <w:t>(</w:t>
      </w:r>
      <w:proofErr w:type="gramEnd"/>
      <w:r w:rsidRPr="00D12EA0">
        <w:rPr>
          <w:b/>
          <w:lang w:val="en-IE"/>
        </w:rPr>
        <w:t>)</w:t>
      </w:r>
      <w:r>
        <w:rPr>
          <w:lang w:val="en-IE"/>
        </w:rPr>
        <w:t xml:space="preserve"> based on the coverage information enabling better inference of the filtered pathways. Using the default threshold as recommended in the manuscript or a custom value, the filtering of pathways can be carried out.</w:t>
      </w:r>
    </w:p>
    <w:p w:rsidR="00D12EA0" w:rsidRPr="00D12EA0" w:rsidRDefault="00D12EA0" w:rsidP="00275F35">
      <w:pPr>
        <w:pStyle w:val="ListParagraph"/>
        <w:spacing w:before="120" w:after="120" w:line="360" w:lineRule="auto"/>
        <w:ind w:left="284"/>
        <w:jc w:val="both"/>
        <w:rPr>
          <w:lang w:val="en-IE"/>
        </w:rPr>
      </w:pPr>
      <w:r w:rsidRPr="00D12EA0">
        <w:rPr>
          <w:lang w:val="en-IE"/>
        </w:rPr>
        <w:t>Usage</w:t>
      </w:r>
    </w:p>
    <w:p w:rsidR="00D12EA0" w:rsidRPr="00D12EA0" w:rsidRDefault="00D12EA0" w:rsidP="00275F35">
      <w:pPr>
        <w:pStyle w:val="ListParagraph"/>
        <w:spacing w:before="120" w:after="120" w:line="360" w:lineRule="auto"/>
        <w:ind w:left="284"/>
        <w:jc w:val="both"/>
        <w:rPr>
          <w:b/>
          <w:lang w:val="en-IE"/>
        </w:rPr>
      </w:pPr>
      <w:proofErr w:type="spellStart"/>
      <w:r w:rsidRPr="00D12EA0">
        <w:rPr>
          <w:b/>
          <w:lang w:val="en-IE"/>
        </w:rPr>
        <w:t>filter_</w:t>
      </w:r>
      <w:proofErr w:type="gramStart"/>
      <w:r w:rsidRPr="00D12EA0">
        <w:rPr>
          <w:b/>
          <w:lang w:val="en-IE"/>
        </w:rPr>
        <w:t>functionality</w:t>
      </w:r>
      <w:proofErr w:type="spellEnd"/>
      <w:r w:rsidRPr="00D12EA0">
        <w:rPr>
          <w:b/>
          <w:lang w:val="en-IE"/>
        </w:rPr>
        <w:t>(</w:t>
      </w:r>
      <w:proofErr w:type="gramEnd"/>
      <w:r w:rsidRPr="00D12EA0">
        <w:rPr>
          <w:b/>
          <w:lang w:val="en-IE"/>
        </w:rPr>
        <w:t xml:space="preserve">dataset, </w:t>
      </w:r>
      <w:r w:rsidR="00275F35">
        <w:rPr>
          <w:b/>
          <w:lang w:val="en-IE"/>
        </w:rPr>
        <w:t xml:space="preserve">type, </w:t>
      </w:r>
      <w:proofErr w:type="spellStart"/>
      <w:r w:rsidRPr="00D12EA0">
        <w:rPr>
          <w:b/>
          <w:lang w:val="en-IE"/>
        </w:rPr>
        <w:t>threshold_dataset</w:t>
      </w:r>
      <w:proofErr w:type="spellEnd"/>
      <w:r w:rsidRPr="00D12EA0">
        <w:rPr>
          <w:b/>
          <w:lang w:val="en-IE"/>
        </w:rPr>
        <w:t>, threshold)</w:t>
      </w:r>
    </w:p>
    <w:p w:rsidR="00D12EA0" w:rsidRPr="00D12EA0" w:rsidRDefault="00D12EA0" w:rsidP="00275F35">
      <w:pPr>
        <w:pStyle w:val="ListParagraph"/>
        <w:spacing w:before="120" w:after="120" w:line="360" w:lineRule="auto"/>
        <w:ind w:left="284"/>
        <w:jc w:val="both"/>
        <w:rPr>
          <w:lang w:val="en-IE"/>
        </w:rPr>
      </w:pPr>
      <w:r w:rsidRPr="00D12EA0">
        <w:rPr>
          <w:lang w:val="en-IE"/>
        </w:rPr>
        <w:t>Arguments</w:t>
      </w:r>
    </w:p>
    <w:p w:rsidR="00D12EA0" w:rsidRPr="00D12EA0" w:rsidRDefault="00275F35" w:rsidP="00275F35">
      <w:pPr>
        <w:pStyle w:val="ListParagraph"/>
        <w:spacing w:before="120" w:after="120" w:line="360" w:lineRule="auto"/>
        <w:ind w:left="284"/>
        <w:jc w:val="both"/>
        <w:rPr>
          <w:lang w:val="en-IE"/>
        </w:rPr>
      </w:pPr>
      <w:proofErr w:type="gramStart"/>
      <w:r w:rsidRPr="00275F35">
        <w:rPr>
          <w:b/>
          <w:lang w:val="en-IE"/>
        </w:rPr>
        <w:t>d</w:t>
      </w:r>
      <w:r w:rsidR="00D12EA0" w:rsidRPr="00275F35">
        <w:rPr>
          <w:b/>
          <w:lang w:val="en-IE"/>
        </w:rPr>
        <w:t>ataset</w:t>
      </w:r>
      <w:proofErr w:type="gramEnd"/>
      <w:r>
        <w:rPr>
          <w:lang w:val="en-IE"/>
        </w:rPr>
        <w:tab/>
      </w:r>
      <w:r>
        <w:rPr>
          <w:lang w:val="en-IE"/>
        </w:rPr>
        <w:tab/>
      </w:r>
      <w:proofErr w:type="spellStart"/>
      <w:r w:rsidR="00D12EA0" w:rsidRPr="00D12EA0">
        <w:rPr>
          <w:lang w:val="en-IE"/>
        </w:rPr>
        <w:t>dataset</w:t>
      </w:r>
      <w:proofErr w:type="spellEnd"/>
      <w:r w:rsidR="00D12EA0" w:rsidRPr="00D12EA0">
        <w:rPr>
          <w:lang w:val="en-IE"/>
        </w:rPr>
        <w:t xml:space="preserve"> where rows are functions/p</w:t>
      </w:r>
      <w:r w:rsidR="00D12EA0">
        <w:rPr>
          <w:lang w:val="en-IE"/>
        </w:rPr>
        <w:t>athways and columns are samples.</w:t>
      </w:r>
    </w:p>
    <w:p w:rsidR="00275F35" w:rsidRDefault="00275F35" w:rsidP="00275F35">
      <w:pPr>
        <w:pStyle w:val="ListParagraph"/>
        <w:spacing w:before="120" w:after="120" w:line="360" w:lineRule="auto"/>
        <w:ind w:left="2127" w:hanging="1843"/>
        <w:jc w:val="both"/>
        <w:rPr>
          <w:lang w:val="en-IE"/>
        </w:rPr>
      </w:pPr>
      <w:proofErr w:type="gramStart"/>
      <w:r w:rsidRPr="00275F35">
        <w:rPr>
          <w:b/>
          <w:lang w:val="en-IE"/>
        </w:rPr>
        <w:t>type</w:t>
      </w:r>
      <w:proofErr w:type="gramEnd"/>
      <w:r>
        <w:rPr>
          <w:lang w:val="en-IE"/>
        </w:rPr>
        <w:tab/>
        <w:t xml:space="preserve">Whether KEGG or MetaCyc dataset. </w:t>
      </w:r>
      <w:proofErr w:type="gramStart"/>
      <w:r>
        <w:rPr>
          <w:lang w:val="en-IE"/>
        </w:rPr>
        <w:t>type</w:t>
      </w:r>
      <w:proofErr w:type="gramEnd"/>
      <w:r>
        <w:rPr>
          <w:lang w:val="en-IE"/>
        </w:rPr>
        <w:t>= “KEGG”</w:t>
      </w:r>
      <w:r w:rsidR="006701E6">
        <w:rPr>
          <w:lang w:val="en-IE"/>
        </w:rPr>
        <w:t xml:space="preserve"> or type=“</w:t>
      </w:r>
      <w:proofErr w:type="spellStart"/>
      <w:r w:rsidR="006701E6">
        <w:rPr>
          <w:lang w:val="en-IE"/>
        </w:rPr>
        <w:t>metacyc</w:t>
      </w:r>
      <w:proofErr w:type="spellEnd"/>
      <w:r w:rsidR="006701E6">
        <w:rPr>
          <w:lang w:val="en-IE"/>
        </w:rPr>
        <w:t>”</w:t>
      </w:r>
    </w:p>
    <w:p w:rsidR="00D12EA0" w:rsidRPr="00D12EA0" w:rsidRDefault="00D12EA0" w:rsidP="00275F35">
      <w:pPr>
        <w:pStyle w:val="ListParagraph"/>
        <w:spacing w:before="120" w:after="120" w:line="360" w:lineRule="auto"/>
        <w:ind w:left="2127" w:hanging="1843"/>
        <w:jc w:val="both"/>
        <w:rPr>
          <w:lang w:val="en-IE"/>
        </w:rPr>
      </w:pPr>
      <w:proofErr w:type="spellStart"/>
      <w:proofErr w:type="gramStart"/>
      <w:r w:rsidRPr="00275F35">
        <w:rPr>
          <w:b/>
          <w:lang w:val="en-IE"/>
        </w:rPr>
        <w:lastRenderedPageBreak/>
        <w:t>threshold_dataset</w:t>
      </w:r>
      <w:proofErr w:type="spellEnd"/>
      <w:proofErr w:type="gramEnd"/>
      <w:r w:rsidR="00275F35">
        <w:rPr>
          <w:lang w:val="en-IE"/>
        </w:rPr>
        <w:tab/>
      </w:r>
      <w:r w:rsidRPr="00D12EA0">
        <w:rPr>
          <w:lang w:val="en-IE"/>
        </w:rPr>
        <w:t>dataset containing the information about pathway/function coverage.</w:t>
      </w:r>
      <w:r>
        <w:rPr>
          <w:lang w:val="en-IE"/>
        </w:rPr>
        <w:t xml:space="preserve"> </w:t>
      </w:r>
      <w:r w:rsidRPr="00D12EA0">
        <w:rPr>
          <w:lang w:val="en-IE"/>
        </w:rPr>
        <w:t>Threshold dataset should contain the same functions/pathways as present in dataset.</w:t>
      </w:r>
    </w:p>
    <w:p w:rsidR="00275F35" w:rsidRPr="00275F35" w:rsidRDefault="00D12EA0" w:rsidP="00275F35">
      <w:pPr>
        <w:pStyle w:val="ListParagraph"/>
        <w:spacing w:before="120" w:after="120" w:line="360" w:lineRule="auto"/>
        <w:ind w:left="284"/>
        <w:jc w:val="both"/>
        <w:rPr>
          <w:b/>
          <w:lang w:val="en-IE"/>
        </w:rPr>
      </w:pPr>
      <w:r w:rsidRPr="00275F35">
        <w:rPr>
          <w:b/>
          <w:lang w:val="en-IE"/>
        </w:rPr>
        <w:t>Optional</w:t>
      </w:r>
      <w:r w:rsidR="00275F35" w:rsidRPr="00275F35">
        <w:rPr>
          <w:b/>
          <w:lang w:val="en-IE"/>
        </w:rPr>
        <w:tab/>
      </w:r>
      <w:r w:rsidR="00275F35" w:rsidRPr="00275F35">
        <w:rPr>
          <w:b/>
          <w:lang w:val="en-IE"/>
        </w:rPr>
        <w:tab/>
      </w:r>
    </w:p>
    <w:p w:rsidR="00D12EA0" w:rsidRDefault="00275F35" w:rsidP="00275F35">
      <w:pPr>
        <w:pStyle w:val="ListParagraph"/>
        <w:spacing w:before="120" w:after="120" w:line="360" w:lineRule="auto"/>
        <w:ind w:left="2127" w:hanging="1843"/>
        <w:jc w:val="both"/>
        <w:rPr>
          <w:lang w:val="en-IE"/>
        </w:rPr>
      </w:pPr>
      <w:proofErr w:type="gramStart"/>
      <w:r w:rsidRPr="00275F35">
        <w:rPr>
          <w:b/>
          <w:lang w:val="en-IE"/>
        </w:rPr>
        <w:t>t</w:t>
      </w:r>
      <w:r w:rsidR="00D12EA0" w:rsidRPr="00275F35">
        <w:rPr>
          <w:b/>
          <w:lang w:val="en-IE"/>
        </w:rPr>
        <w:t>hreshold</w:t>
      </w:r>
      <w:proofErr w:type="gramEnd"/>
      <w:r>
        <w:rPr>
          <w:lang w:val="en-IE"/>
        </w:rPr>
        <w:tab/>
      </w:r>
      <w:r>
        <w:rPr>
          <w:lang w:val="en-IE"/>
        </w:rPr>
        <w:tab/>
      </w:r>
      <w:r w:rsidR="00D12EA0" w:rsidRPr="00D12EA0">
        <w:rPr>
          <w:lang w:val="en-IE"/>
        </w:rPr>
        <w:t>Default is 0.01 for cover</w:t>
      </w:r>
      <w:r>
        <w:rPr>
          <w:lang w:val="en-IE"/>
        </w:rPr>
        <w:t>a</w:t>
      </w:r>
      <w:r w:rsidR="00D12EA0" w:rsidRPr="00D12EA0">
        <w:rPr>
          <w:lang w:val="en-IE"/>
        </w:rPr>
        <w:t xml:space="preserve">ge </w:t>
      </w:r>
      <w:r>
        <w:rPr>
          <w:lang w:val="en-IE"/>
        </w:rPr>
        <w:t xml:space="preserve">for KEGG </w:t>
      </w:r>
      <w:r w:rsidR="00D12EA0" w:rsidRPr="00D12EA0">
        <w:rPr>
          <w:lang w:val="en-IE"/>
        </w:rPr>
        <w:t xml:space="preserve">or the first quartile of the mean </w:t>
      </w:r>
      <w:r>
        <w:rPr>
          <w:lang w:val="en-IE"/>
        </w:rPr>
        <w:t>coverage for MetaCyc</w:t>
      </w:r>
      <w:r w:rsidR="00D12EA0" w:rsidRPr="00D12EA0">
        <w:rPr>
          <w:lang w:val="en-IE"/>
        </w:rPr>
        <w:t>.</w:t>
      </w:r>
    </w:p>
    <w:p w:rsidR="00275F35" w:rsidRPr="00D12EA0" w:rsidRDefault="00275F35" w:rsidP="00275F35">
      <w:pPr>
        <w:pStyle w:val="ListParagraph"/>
        <w:spacing w:before="120" w:after="120" w:line="360" w:lineRule="auto"/>
        <w:ind w:left="2127" w:hanging="1843"/>
        <w:jc w:val="both"/>
        <w:rPr>
          <w:lang w:val="en-IE"/>
        </w:rPr>
      </w:pPr>
    </w:p>
    <w:p w:rsidR="00106A00" w:rsidRDefault="00275F35" w:rsidP="00275F35">
      <w:pPr>
        <w:pStyle w:val="ListParagraph"/>
        <w:numPr>
          <w:ilvl w:val="0"/>
          <w:numId w:val="3"/>
        </w:numPr>
        <w:spacing w:before="120" w:after="120" w:line="360" w:lineRule="auto"/>
        <w:ind w:left="284"/>
        <w:jc w:val="both"/>
        <w:rPr>
          <w:b/>
          <w:lang w:val="en-IE"/>
        </w:rPr>
      </w:pPr>
      <w:r>
        <w:rPr>
          <w:b/>
          <w:lang w:val="en-IE"/>
        </w:rPr>
        <w:t>Inferring functionality</w:t>
      </w:r>
    </w:p>
    <w:p w:rsidR="00275F35" w:rsidRDefault="00275F35" w:rsidP="00275F35">
      <w:pPr>
        <w:pStyle w:val="ListParagraph"/>
        <w:spacing w:before="120" w:after="120" w:line="360" w:lineRule="auto"/>
        <w:ind w:left="284"/>
        <w:jc w:val="both"/>
        <w:rPr>
          <w:lang w:val="en-IE"/>
        </w:rPr>
      </w:pPr>
      <w:r>
        <w:rPr>
          <w:lang w:val="en-IE"/>
        </w:rPr>
        <w:t xml:space="preserve">Inferring functionality is carried out by </w:t>
      </w:r>
      <w:proofErr w:type="gramStart"/>
      <w:r w:rsidRPr="00275F35">
        <w:rPr>
          <w:b/>
          <w:lang w:val="en-IE"/>
        </w:rPr>
        <w:t>IPCO(</w:t>
      </w:r>
      <w:proofErr w:type="gramEnd"/>
      <w:r w:rsidRPr="00275F35">
        <w:rPr>
          <w:b/>
          <w:lang w:val="en-IE"/>
        </w:rPr>
        <w:t>)</w:t>
      </w:r>
      <w:r>
        <w:rPr>
          <w:lang w:val="en-IE"/>
        </w:rPr>
        <w:t xml:space="preserve"> command. It requires the reference taxonomic and functional datasets and the queried taxonomic dataset. Checking for significance in covariance between reference taxonomy and functional profiles is recommended if using in-house reference datasets.</w:t>
      </w:r>
      <w:r w:rsidR="003D29EB">
        <w:rPr>
          <w:lang w:val="en-IE"/>
        </w:rPr>
        <w:t xml:space="preserve"> It requires the </w:t>
      </w:r>
      <w:proofErr w:type="spellStart"/>
      <w:proofErr w:type="gramStart"/>
      <w:r w:rsidR="003D29EB" w:rsidRPr="003D29EB">
        <w:rPr>
          <w:b/>
          <w:lang w:val="en-IE"/>
        </w:rPr>
        <w:t>rlq</w:t>
      </w:r>
      <w:proofErr w:type="spellEnd"/>
      <w:r w:rsidR="003D29EB" w:rsidRPr="003D29EB">
        <w:rPr>
          <w:b/>
          <w:lang w:val="en-IE"/>
        </w:rPr>
        <w:t>(</w:t>
      </w:r>
      <w:proofErr w:type="gramEnd"/>
      <w:r w:rsidR="003D29EB" w:rsidRPr="003D29EB">
        <w:rPr>
          <w:b/>
          <w:lang w:val="en-IE"/>
        </w:rPr>
        <w:t>)</w:t>
      </w:r>
      <w:r w:rsidR="003D29EB">
        <w:rPr>
          <w:lang w:val="en-IE"/>
        </w:rPr>
        <w:t xml:space="preserve"> function from the ade4 library.</w:t>
      </w:r>
    </w:p>
    <w:p w:rsidR="00275F35" w:rsidRPr="00275F35" w:rsidRDefault="00275F35" w:rsidP="00275F35">
      <w:pPr>
        <w:pStyle w:val="ListParagraph"/>
        <w:spacing w:before="120" w:after="120" w:line="360" w:lineRule="auto"/>
        <w:ind w:left="284"/>
        <w:jc w:val="both"/>
        <w:rPr>
          <w:lang w:val="en-IE"/>
        </w:rPr>
      </w:pPr>
      <w:r w:rsidRPr="00275F35">
        <w:rPr>
          <w:lang w:val="en-IE"/>
        </w:rPr>
        <w:t>Usage</w:t>
      </w:r>
    </w:p>
    <w:p w:rsidR="00275F35" w:rsidRPr="00275F35" w:rsidRDefault="00275F35" w:rsidP="00275F35">
      <w:pPr>
        <w:pStyle w:val="ListParagraph"/>
        <w:spacing w:before="120" w:after="120" w:line="360" w:lineRule="auto"/>
        <w:ind w:left="284"/>
        <w:jc w:val="both"/>
        <w:rPr>
          <w:b/>
          <w:lang w:val="en-IE"/>
        </w:rPr>
      </w:pPr>
      <w:r w:rsidRPr="00275F35">
        <w:rPr>
          <w:b/>
          <w:lang w:val="en-IE"/>
        </w:rPr>
        <w:t>IPCO(R, L, Q)</w:t>
      </w:r>
    </w:p>
    <w:p w:rsidR="00275F35" w:rsidRPr="00275F35" w:rsidRDefault="00275F35" w:rsidP="00275F35">
      <w:pPr>
        <w:pStyle w:val="ListParagraph"/>
        <w:spacing w:before="120" w:after="120" w:line="360" w:lineRule="auto"/>
        <w:ind w:left="284"/>
        <w:jc w:val="both"/>
        <w:rPr>
          <w:lang w:val="en-IE"/>
        </w:rPr>
      </w:pPr>
      <w:r w:rsidRPr="00275F35">
        <w:rPr>
          <w:lang w:val="en-IE"/>
        </w:rPr>
        <w:t>Arguments</w:t>
      </w:r>
    </w:p>
    <w:p w:rsidR="00275F35" w:rsidRPr="00275F35" w:rsidRDefault="00275F35" w:rsidP="00275F35">
      <w:pPr>
        <w:pStyle w:val="ListParagraph"/>
        <w:spacing w:before="120" w:after="120" w:line="360" w:lineRule="auto"/>
        <w:ind w:left="284"/>
        <w:jc w:val="both"/>
        <w:rPr>
          <w:lang w:val="en-IE"/>
        </w:rPr>
      </w:pPr>
      <w:r w:rsidRPr="003D29EB">
        <w:rPr>
          <w:b/>
          <w:lang w:val="en-IE"/>
        </w:rPr>
        <w:t>R</w:t>
      </w:r>
      <w:r>
        <w:rPr>
          <w:lang w:val="en-IE"/>
        </w:rPr>
        <w:tab/>
      </w:r>
      <w:r>
        <w:rPr>
          <w:lang w:val="en-IE"/>
        </w:rPr>
        <w:tab/>
      </w:r>
      <w:proofErr w:type="spellStart"/>
      <w:r w:rsidRPr="00275F35">
        <w:rPr>
          <w:lang w:val="en-IE"/>
        </w:rPr>
        <w:t>R</w:t>
      </w:r>
      <w:proofErr w:type="spellEnd"/>
      <w:r w:rsidRPr="00275F35">
        <w:rPr>
          <w:lang w:val="en-IE"/>
        </w:rPr>
        <w:t xml:space="preserve"> dataset where rows are functions/pathways and columns are samples</w:t>
      </w:r>
    </w:p>
    <w:p w:rsidR="00275F35" w:rsidRPr="00275F35" w:rsidRDefault="00275F35" w:rsidP="003D29EB">
      <w:pPr>
        <w:pStyle w:val="ListParagraph"/>
        <w:spacing w:before="120" w:after="120" w:line="360" w:lineRule="auto"/>
        <w:ind w:left="1418" w:hanging="1134"/>
        <w:jc w:val="both"/>
        <w:rPr>
          <w:lang w:val="en-IE"/>
        </w:rPr>
      </w:pPr>
      <w:r w:rsidRPr="003D29EB">
        <w:rPr>
          <w:b/>
          <w:lang w:val="en-IE"/>
        </w:rPr>
        <w:t>L</w:t>
      </w:r>
      <w:r>
        <w:rPr>
          <w:lang w:val="en-IE"/>
        </w:rPr>
        <w:tab/>
      </w:r>
      <w:r>
        <w:rPr>
          <w:lang w:val="en-IE"/>
        </w:rPr>
        <w:tab/>
      </w:r>
      <w:r w:rsidRPr="00275F35">
        <w:rPr>
          <w:lang w:val="en-IE"/>
        </w:rPr>
        <w:t>L dataset where rows are taxa/OTUs and columns are the same samples as dataset R</w:t>
      </w:r>
    </w:p>
    <w:p w:rsidR="00275F35" w:rsidRPr="00275F35" w:rsidRDefault="00275F35" w:rsidP="003D29EB">
      <w:pPr>
        <w:pStyle w:val="ListParagraph"/>
        <w:spacing w:before="120" w:after="120" w:line="360" w:lineRule="auto"/>
        <w:ind w:left="1418" w:hanging="1134"/>
        <w:jc w:val="both"/>
        <w:rPr>
          <w:lang w:val="en-IE"/>
        </w:rPr>
      </w:pPr>
      <w:r w:rsidRPr="003D29EB">
        <w:rPr>
          <w:b/>
          <w:lang w:val="en-IE"/>
        </w:rPr>
        <w:t>Q</w:t>
      </w:r>
      <w:r>
        <w:rPr>
          <w:lang w:val="en-IE"/>
        </w:rPr>
        <w:tab/>
      </w:r>
      <w:r>
        <w:rPr>
          <w:lang w:val="en-IE"/>
        </w:rPr>
        <w:tab/>
      </w:r>
      <w:proofErr w:type="spellStart"/>
      <w:r w:rsidRPr="00275F35">
        <w:rPr>
          <w:lang w:val="en-IE"/>
        </w:rPr>
        <w:t>Q</w:t>
      </w:r>
      <w:proofErr w:type="spellEnd"/>
      <w:r w:rsidRPr="00275F35">
        <w:rPr>
          <w:lang w:val="en-IE"/>
        </w:rPr>
        <w:t xml:space="preserve"> dataset where rows are taxa/OTUs common between L and Q and columns are the samples for which functionality will be inferred</w:t>
      </w:r>
    </w:p>
    <w:p w:rsidR="00275F35" w:rsidRDefault="00275F35" w:rsidP="003D29EB">
      <w:pPr>
        <w:pStyle w:val="ListParagraph"/>
        <w:spacing w:before="120" w:after="120" w:line="360" w:lineRule="auto"/>
        <w:ind w:left="1418" w:hanging="1134"/>
        <w:jc w:val="both"/>
        <w:rPr>
          <w:lang w:val="en-IE"/>
        </w:rPr>
      </w:pPr>
      <w:r w:rsidRPr="003D29EB">
        <w:rPr>
          <w:b/>
          <w:lang w:val="en-IE"/>
        </w:rPr>
        <w:t xml:space="preserve">Requires </w:t>
      </w:r>
      <w:r w:rsidRPr="003D29EB">
        <w:rPr>
          <w:b/>
          <w:lang w:val="en-IE"/>
        </w:rPr>
        <w:tab/>
      </w:r>
      <w:r w:rsidR="003D29EB">
        <w:rPr>
          <w:lang w:val="en-IE"/>
        </w:rPr>
        <w:t>T</w:t>
      </w:r>
      <w:r w:rsidRPr="00275F35">
        <w:rPr>
          <w:lang w:val="en-IE"/>
        </w:rPr>
        <w:t>he references functional (R) and its paired taxonomy dataset (L) and the taxonomy dataset (Q) for which functions need to be inferred</w:t>
      </w:r>
    </w:p>
    <w:p w:rsidR="003D29EB" w:rsidRDefault="003D29EB" w:rsidP="00275F35">
      <w:pPr>
        <w:pStyle w:val="ListParagraph"/>
        <w:spacing w:before="120" w:after="120" w:line="360" w:lineRule="auto"/>
        <w:ind w:left="284"/>
        <w:jc w:val="both"/>
        <w:rPr>
          <w:lang w:val="en-IE"/>
        </w:rPr>
      </w:pPr>
    </w:p>
    <w:p w:rsidR="003D29EB" w:rsidRDefault="003D29EB" w:rsidP="00275F35">
      <w:pPr>
        <w:pStyle w:val="ListParagraph"/>
        <w:spacing w:before="120" w:after="120" w:line="360" w:lineRule="auto"/>
        <w:ind w:left="284"/>
        <w:jc w:val="both"/>
        <w:rPr>
          <w:lang w:val="en-IE"/>
        </w:rPr>
      </w:pPr>
      <w:r w:rsidRPr="003D29EB">
        <w:rPr>
          <w:b/>
          <w:lang w:val="en-IE"/>
        </w:rPr>
        <w:t>Note:</w:t>
      </w:r>
      <w:r>
        <w:rPr>
          <w:lang w:val="en-IE"/>
        </w:rPr>
        <w:t xml:space="preserve"> Use of transformed/normalised and</w:t>
      </w:r>
      <w:r w:rsidR="006701E6">
        <w:rPr>
          <w:lang w:val="en-IE"/>
        </w:rPr>
        <w:t>/or</w:t>
      </w:r>
      <w:r>
        <w:rPr>
          <w:lang w:val="en-IE"/>
        </w:rPr>
        <w:t xml:space="preserve"> filtered datasets is optional however,</w:t>
      </w:r>
      <w:r w:rsidR="006701E6">
        <w:rPr>
          <w:lang w:val="en-IE"/>
        </w:rPr>
        <w:t xml:space="preserve"> it is </w:t>
      </w:r>
      <w:r>
        <w:rPr>
          <w:lang w:val="en-IE"/>
        </w:rPr>
        <w:t>recommend</w:t>
      </w:r>
      <w:r w:rsidR="006701E6">
        <w:rPr>
          <w:lang w:val="en-IE"/>
        </w:rPr>
        <w:t>ed</w:t>
      </w:r>
      <w:r>
        <w:rPr>
          <w:lang w:val="en-IE"/>
        </w:rPr>
        <w:t>.</w:t>
      </w:r>
      <w:r w:rsidR="006701E6">
        <w:rPr>
          <w:lang w:val="en-IE"/>
        </w:rPr>
        <w:t xml:space="preserve"> IPCO internally check if there are zero abundance features and also check for common features (OTUs/genus/species) between reference taxonomy and queried dataset.</w:t>
      </w:r>
    </w:p>
    <w:p w:rsidR="003D29EB" w:rsidRPr="00275F35" w:rsidRDefault="003D29EB" w:rsidP="00275F35">
      <w:pPr>
        <w:pStyle w:val="ListParagraph"/>
        <w:spacing w:before="120" w:after="120" w:line="360" w:lineRule="auto"/>
        <w:ind w:left="284"/>
        <w:jc w:val="both"/>
        <w:rPr>
          <w:lang w:val="en-IE"/>
        </w:rPr>
      </w:pPr>
    </w:p>
    <w:p w:rsidR="003D29EB" w:rsidRDefault="003D29EB" w:rsidP="003D29EB">
      <w:pPr>
        <w:pStyle w:val="ListParagraph"/>
        <w:numPr>
          <w:ilvl w:val="0"/>
          <w:numId w:val="3"/>
        </w:numPr>
        <w:spacing w:before="120" w:after="120" w:line="360" w:lineRule="auto"/>
        <w:ind w:left="284"/>
        <w:jc w:val="both"/>
        <w:rPr>
          <w:b/>
          <w:lang w:val="en-IE"/>
        </w:rPr>
      </w:pPr>
      <w:r>
        <w:rPr>
          <w:b/>
          <w:lang w:val="en-IE"/>
        </w:rPr>
        <w:t>Checking for significant covariance between reference taxonomic and functional datasets (optional)</w:t>
      </w:r>
    </w:p>
    <w:p w:rsidR="003D29EB" w:rsidRDefault="003D29EB" w:rsidP="003D29EB">
      <w:pPr>
        <w:pStyle w:val="ListParagraph"/>
        <w:spacing w:before="120" w:after="120" w:line="360" w:lineRule="auto"/>
        <w:ind w:left="284"/>
        <w:jc w:val="both"/>
        <w:rPr>
          <w:lang w:val="en-IE"/>
        </w:rPr>
      </w:pPr>
      <w:r>
        <w:rPr>
          <w:lang w:val="en-IE"/>
        </w:rPr>
        <w:t xml:space="preserve">As discussed in the manuscript, the covariance between the taxonomic and functional datasets is in part responsible for inferring profiles accurately. When using in-house reference dataset, using the command </w:t>
      </w:r>
      <w:proofErr w:type="spellStart"/>
      <w:r w:rsidRPr="003D29EB">
        <w:rPr>
          <w:b/>
          <w:lang w:val="en-IE"/>
        </w:rPr>
        <w:t>check_</w:t>
      </w:r>
      <w:proofErr w:type="gramStart"/>
      <w:r w:rsidRPr="003D29EB">
        <w:rPr>
          <w:b/>
          <w:lang w:val="en-IE"/>
        </w:rPr>
        <w:t>cointertia</w:t>
      </w:r>
      <w:proofErr w:type="spellEnd"/>
      <w:r w:rsidRPr="003D29EB">
        <w:rPr>
          <w:b/>
          <w:lang w:val="en-IE"/>
        </w:rPr>
        <w:t>(</w:t>
      </w:r>
      <w:proofErr w:type="gramEnd"/>
      <w:r w:rsidRPr="003D29EB">
        <w:rPr>
          <w:b/>
          <w:lang w:val="en-IE"/>
        </w:rPr>
        <w:t>)</w:t>
      </w:r>
      <w:r>
        <w:rPr>
          <w:lang w:val="en-IE"/>
        </w:rPr>
        <w:t xml:space="preserve">, significance between the </w:t>
      </w:r>
      <w:r>
        <w:rPr>
          <w:lang w:val="en-IE"/>
        </w:rPr>
        <w:lastRenderedPageBreak/>
        <w:t xml:space="preserve">taxonomic and functional reference data can be obtained. This is wrapper command containing the all the steps to calculate </w:t>
      </w:r>
      <w:proofErr w:type="spellStart"/>
      <w:r>
        <w:rPr>
          <w:lang w:val="en-IE"/>
        </w:rPr>
        <w:t>coinertia</w:t>
      </w:r>
      <w:proofErr w:type="spellEnd"/>
      <w:r>
        <w:rPr>
          <w:lang w:val="en-IE"/>
        </w:rPr>
        <w:t xml:space="preserve"> and its significance using ade4 library. It generates </w:t>
      </w:r>
      <w:proofErr w:type="spellStart"/>
      <w:r>
        <w:rPr>
          <w:lang w:val="en-IE"/>
        </w:rPr>
        <w:t>pca</w:t>
      </w:r>
      <w:proofErr w:type="spellEnd"/>
      <w:r>
        <w:rPr>
          <w:lang w:val="en-IE"/>
        </w:rPr>
        <w:t xml:space="preserve"> objects internally</w:t>
      </w:r>
      <w:r w:rsidR="00E978E1">
        <w:rPr>
          <w:lang w:val="en-IE"/>
        </w:rPr>
        <w:t xml:space="preserve"> using </w:t>
      </w:r>
      <w:proofErr w:type="spellStart"/>
      <w:proofErr w:type="gramStart"/>
      <w:r w:rsidR="00E978E1" w:rsidRPr="00E978E1">
        <w:rPr>
          <w:b/>
          <w:lang w:val="en-IE"/>
        </w:rPr>
        <w:t>dudi.pca</w:t>
      </w:r>
      <w:proofErr w:type="spellEnd"/>
      <w:r w:rsidR="00E978E1" w:rsidRPr="00E978E1">
        <w:rPr>
          <w:b/>
          <w:lang w:val="en-IE"/>
        </w:rPr>
        <w:t>(</w:t>
      </w:r>
      <w:proofErr w:type="gramEnd"/>
      <w:r w:rsidR="00E978E1" w:rsidRPr="00E978E1">
        <w:rPr>
          <w:b/>
          <w:lang w:val="en-IE"/>
        </w:rPr>
        <w:t>)</w:t>
      </w:r>
      <w:r>
        <w:rPr>
          <w:lang w:val="en-IE"/>
        </w:rPr>
        <w:t xml:space="preserve"> from the taxonomic and functional datasets, and uses the </w:t>
      </w:r>
      <w:proofErr w:type="spellStart"/>
      <w:r w:rsidRPr="003D29EB">
        <w:rPr>
          <w:b/>
          <w:lang w:val="en-IE"/>
        </w:rPr>
        <w:t>coinertia</w:t>
      </w:r>
      <w:proofErr w:type="spellEnd"/>
      <w:r w:rsidRPr="003D29EB">
        <w:rPr>
          <w:b/>
          <w:lang w:val="en-IE"/>
        </w:rPr>
        <w:t>()</w:t>
      </w:r>
      <w:r>
        <w:rPr>
          <w:lang w:val="en-IE"/>
        </w:rPr>
        <w:t xml:space="preserve"> </w:t>
      </w:r>
      <w:r w:rsidR="00E978E1">
        <w:rPr>
          <w:lang w:val="en-IE"/>
        </w:rPr>
        <w:t xml:space="preserve">function </w:t>
      </w:r>
      <w:r>
        <w:rPr>
          <w:lang w:val="en-IE"/>
        </w:rPr>
        <w:t xml:space="preserve">from ade4 to calculate the </w:t>
      </w:r>
      <w:proofErr w:type="spellStart"/>
      <w:r>
        <w:rPr>
          <w:lang w:val="en-IE"/>
        </w:rPr>
        <w:t>coinertia</w:t>
      </w:r>
      <w:proofErr w:type="spellEnd"/>
      <w:r>
        <w:rPr>
          <w:lang w:val="en-IE"/>
        </w:rPr>
        <w:t xml:space="preserve"> and the significance is determined using </w:t>
      </w:r>
      <w:proofErr w:type="spellStart"/>
      <w:r w:rsidRPr="003D29EB">
        <w:rPr>
          <w:b/>
          <w:lang w:val="en-IE"/>
        </w:rPr>
        <w:t>randtest</w:t>
      </w:r>
      <w:proofErr w:type="spellEnd"/>
      <w:r w:rsidRPr="003D29EB">
        <w:rPr>
          <w:b/>
          <w:lang w:val="en-IE"/>
        </w:rPr>
        <w:t>()</w:t>
      </w:r>
      <w:r>
        <w:rPr>
          <w:lang w:val="en-IE"/>
        </w:rPr>
        <w:t xml:space="preserve"> with 100 permutations.</w:t>
      </w:r>
      <w:r w:rsidR="00E978E1">
        <w:rPr>
          <w:lang w:val="en-IE"/>
        </w:rPr>
        <w:t xml:space="preserve"> The </w:t>
      </w:r>
      <w:proofErr w:type="spellStart"/>
      <w:r w:rsidR="00E978E1">
        <w:rPr>
          <w:lang w:val="en-IE"/>
        </w:rPr>
        <w:t>coinertia</w:t>
      </w:r>
      <w:proofErr w:type="spellEnd"/>
      <w:r w:rsidR="00E978E1">
        <w:rPr>
          <w:lang w:val="en-IE"/>
        </w:rPr>
        <w:t xml:space="preserve"> object and </w:t>
      </w:r>
      <w:proofErr w:type="spellStart"/>
      <w:r w:rsidR="00E978E1">
        <w:rPr>
          <w:lang w:val="en-IE"/>
        </w:rPr>
        <w:t>randtest</w:t>
      </w:r>
      <w:proofErr w:type="spellEnd"/>
      <w:r w:rsidR="00E978E1">
        <w:rPr>
          <w:lang w:val="en-IE"/>
        </w:rPr>
        <w:t xml:space="preserve"> results are returned as a list object.</w:t>
      </w:r>
    </w:p>
    <w:p w:rsidR="00E978E1" w:rsidRPr="00E978E1" w:rsidRDefault="00E978E1" w:rsidP="00E978E1">
      <w:pPr>
        <w:pStyle w:val="ListParagraph"/>
        <w:spacing w:before="120" w:after="120" w:line="360" w:lineRule="auto"/>
        <w:ind w:left="284"/>
        <w:jc w:val="both"/>
        <w:rPr>
          <w:lang w:val="en-IE"/>
        </w:rPr>
      </w:pPr>
      <w:r w:rsidRPr="00E978E1">
        <w:rPr>
          <w:lang w:val="en-IE"/>
        </w:rPr>
        <w:t>Usage</w:t>
      </w:r>
    </w:p>
    <w:p w:rsidR="00E978E1" w:rsidRPr="00E978E1" w:rsidRDefault="00E978E1" w:rsidP="00E978E1">
      <w:pPr>
        <w:pStyle w:val="ListParagraph"/>
        <w:spacing w:before="120" w:after="120" w:line="360" w:lineRule="auto"/>
        <w:ind w:left="284"/>
        <w:jc w:val="both"/>
        <w:rPr>
          <w:b/>
          <w:lang w:val="en-IE"/>
        </w:rPr>
      </w:pPr>
      <w:proofErr w:type="spellStart"/>
      <w:r w:rsidRPr="00E978E1">
        <w:rPr>
          <w:b/>
          <w:lang w:val="en-IE"/>
        </w:rPr>
        <w:t>check_coinertia</w:t>
      </w:r>
      <w:proofErr w:type="spellEnd"/>
      <w:r w:rsidRPr="00E978E1">
        <w:rPr>
          <w:b/>
          <w:lang w:val="en-IE"/>
        </w:rPr>
        <w:t>(R, L)</w:t>
      </w:r>
    </w:p>
    <w:p w:rsidR="00E978E1" w:rsidRPr="00E978E1" w:rsidRDefault="00E978E1" w:rsidP="00E978E1">
      <w:pPr>
        <w:pStyle w:val="ListParagraph"/>
        <w:spacing w:before="120" w:after="120" w:line="360" w:lineRule="auto"/>
        <w:ind w:left="284"/>
        <w:jc w:val="both"/>
        <w:rPr>
          <w:lang w:val="en-IE"/>
        </w:rPr>
      </w:pPr>
      <w:r w:rsidRPr="00E978E1">
        <w:rPr>
          <w:lang w:val="en-IE"/>
        </w:rPr>
        <w:t>Arguments</w:t>
      </w:r>
    </w:p>
    <w:p w:rsidR="00E978E1" w:rsidRPr="00E978E1" w:rsidRDefault="00E978E1" w:rsidP="00E978E1">
      <w:pPr>
        <w:pStyle w:val="ListParagraph"/>
        <w:spacing w:before="120" w:after="120" w:line="360" w:lineRule="auto"/>
        <w:ind w:left="284"/>
        <w:jc w:val="both"/>
        <w:rPr>
          <w:lang w:val="en-IE"/>
        </w:rPr>
      </w:pPr>
      <w:r w:rsidRPr="00E978E1">
        <w:rPr>
          <w:b/>
          <w:lang w:val="en-IE"/>
        </w:rPr>
        <w:t>R</w:t>
      </w:r>
      <w:r>
        <w:rPr>
          <w:lang w:val="en-IE"/>
        </w:rPr>
        <w:tab/>
      </w:r>
      <w:r>
        <w:rPr>
          <w:lang w:val="en-IE"/>
        </w:rPr>
        <w:tab/>
      </w:r>
      <w:r w:rsidRPr="00E978E1">
        <w:rPr>
          <w:lang w:val="en-IE"/>
        </w:rPr>
        <w:t xml:space="preserve">R table </w:t>
      </w:r>
      <w:r>
        <w:rPr>
          <w:lang w:val="en-IE"/>
        </w:rPr>
        <w:t>is the</w:t>
      </w:r>
      <w:r w:rsidRPr="00E978E1">
        <w:rPr>
          <w:lang w:val="en-IE"/>
        </w:rPr>
        <w:t xml:space="preserve"> functions/pathways </w:t>
      </w:r>
      <w:r>
        <w:rPr>
          <w:lang w:val="en-IE"/>
        </w:rPr>
        <w:t>table where</w:t>
      </w:r>
      <w:r w:rsidRPr="00E978E1">
        <w:rPr>
          <w:lang w:val="en-IE"/>
        </w:rPr>
        <w:t xml:space="preserve"> columns are samples</w:t>
      </w:r>
    </w:p>
    <w:p w:rsidR="00E978E1" w:rsidRPr="00E978E1" w:rsidRDefault="00E978E1" w:rsidP="00E978E1">
      <w:pPr>
        <w:pStyle w:val="ListParagraph"/>
        <w:spacing w:before="120" w:after="120" w:line="360" w:lineRule="auto"/>
        <w:ind w:left="284"/>
        <w:jc w:val="both"/>
        <w:rPr>
          <w:lang w:val="en-IE"/>
        </w:rPr>
      </w:pPr>
      <w:r w:rsidRPr="00E978E1">
        <w:rPr>
          <w:b/>
          <w:lang w:val="en-IE"/>
        </w:rPr>
        <w:t>L</w:t>
      </w:r>
      <w:r>
        <w:rPr>
          <w:lang w:val="en-IE"/>
        </w:rPr>
        <w:tab/>
      </w:r>
      <w:r>
        <w:rPr>
          <w:lang w:val="en-IE"/>
        </w:rPr>
        <w:tab/>
      </w:r>
      <w:r w:rsidRPr="00E978E1">
        <w:rPr>
          <w:lang w:val="en-IE"/>
        </w:rPr>
        <w:t xml:space="preserve">L table </w:t>
      </w:r>
      <w:r>
        <w:rPr>
          <w:lang w:val="en-IE"/>
        </w:rPr>
        <w:t>is the taxonomic table where</w:t>
      </w:r>
      <w:r w:rsidRPr="00E978E1">
        <w:rPr>
          <w:lang w:val="en-IE"/>
        </w:rPr>
        <w:t xml:space="preserve"> columns are the same samples as table R</w:t>
      </w:r>
    </w:p>
    <w:p w:rsidR="00E978E1" w:rsidRDefault="00E978E1" w:rsidP="00E978E1">
      <w:pPr>
        <w:pStyle w:val="ListParagraph"/>
        <w:spacing w:before="120" w:after="120" w:line="360" w:lineRule="auto"/>
        <w:ind w:left="1418" w:hanging="1134"/>
        <w:jc w:val="both"/>
        <w:rPr>
          <w:lang w:val="en-IE"/>
        </w:rPr>
      </w:pPr>
      <w:r w:rsidRPr="00E978E1">
        <w:rPr>
          <w:b/>
          <w:lang w:val="en-IE"/>
        </w:rPr>
        <w:t>Requires</w:t>
      </w:r>
      <w:r>
        <w:rPr>
          <w:lang w:val="en-IE"/>
        </w:rPr>
        <w:tab/>
        <w:t>T</w:t>
      </w:r>
      <w:r w:rsidRPr="00E978E1">
        <w:rPr>
          <w:lang w:val="en-IE"/>
        </w:rPr>
        <w:t xml:space="preserve">he references functional (R) and its paired taxonomy table (L) and the taxonomy table (Q) for which </w:t>
      </w:r>
      <w:proofErr w:type="spellStart"/>
      <w:r w:rsidRPr="00E978E1">
        <w:rPr>
          <w:lang w:val="en-IE"/>
        </w:rPr>
        <w:t>coinertia</w:t>
      </w:r>
      <w:proofErr w:type="spellEnd"/>
      <w:r w:rsidRPr="00E978E1">
        <w:rPr>
          <w:lang w:val="en-IE"/>
        </w:rPr>
        <w:t xml:space="preserve"> and its significance will be calculated.</w:t>
      </w:r>
    </w:p>
    <w:p w:rsidR="00E978E1" w:rsidRDefault="00E978E1" w:rsidP="00E978E1">
      <w:pPr>
        <w:pStyle w:val="ListParagraph"/>
        <w:spacing w:before="120" w:after="120" w:line="360" w:lineRule="auto"/>
        <w:ind w:left="1418" w:hanging="1134"/>
        <w:jc w:val="both"/>
        <w:rPr>
          <w:b/>
          <w:lang w:val="en-IE"/>
        </w:rPr>
      </w:pPr>
    </w:p>
    <w:p w:rsidR="00E978E1" w:rsidRDefault="00E978E1" w:rsidP="00E978E1">
      <w:pPr>
        <w:pStyle w:val="ListParagraph"/>
        <w:spacing w:before="120" w:after="120" w:line="360" w:lineRule="auto"/>
        <w:ind w:left="284"/>
        <w:jc w:val="both"/>
        <w:rPr>
          <w:lang w:val="en-IE"/>
        </w:rPr>
      </w:pPr>
      <w:r>
        <w:rPr>
          <w:b/>
          <w:lang w:val="en-IE"/>
        </w:rPr>
        <w:t xml:space="preserve">Note: </w:t>
      </w:r>
      <w:r>
        <w:rPr>
          <w:lang w:val="en-IE"/>
        </w:rPr>
        <w:t xml:space="preserve">It does not transform/normalise the data automatically and scale=FALSE in </w:t>
      </w:r>
      <w:proofErr w:type="spellStart"/>
      <w:proofErr w:type="gramStart"/>
      <w:r w:rsidRPr="00E978E1">
        <w:rPr>
          <w:b/>
          <w:lang w:val="en-IE"/>
        </w:rPr>
        <w:t>dudi.pca</w:t>
      </w:r>
      <w:proofErr w:type="spellEnd"/>
      <w:r w:rsidRPr="00E978E1">
        <w:rPr>
          <w:b/>
          <w:lang w:val="en-IE"/>
        </w:rPr>
        <w:t>(</w:t>
      </w:r>
      <w:proofErr w:type="gramEnd"/>
      <w:r w:rsidRPr="00E978E1">
        <w:rPr>
          <w:b/>
          <w:lang w:val="en-IE"/>
        </w:rPr>
        <w:t>)</w:t>
      </w:r>
      <w:r>
        <w:rPr>
          <w:lang w:val="en-IE"/>
        </w:rPr>
        <w:t xml:space="preserve"> command.</w:t>
      </w:r>
    </w:p>
    <w:p w:rsidR="00E978E1" w:rsidRPr="00E978E1" w:rsidRDefault="00E978E1" w:rsidP="00E978E1">
      <w:pPr>
        <w:pStyle w:val="ListParagraph"/>
        <w:spacing w:before="120" w:after="120" w:line="360" w:lineRule="auto"/>
        <w:ind w:left="284"/>
        <w:jc w:val="both"/>
        <w:rPr>
          <w:lang w:val="en-IE"/>
        </w:rPr>
      </w:pPr>
    </w:p>
    <w:p w:rsidR="003D29EB" w:rsidRDefault="003D29EB" w:rsidP="003D29EB">
      <w:pPr>
        <w:spacing w:before="120" w:after="120" w:line="360" w:lineRule="auto"/>
        <w:jc w:val="both"/>
        <w:rPr>
          <w:b/>
          <w:lang w:val="en-IE"/>
        </w:rPr>
      </w:pPr>
      <w:r>
        <w:rPr>
          <w:b/>
          <w:lang w:val="en-IE"/>
        </w:rPr>
        <w:t>An example of IPCO workflow</w:t>
      </w:r>
    </w:p>
    <w:p w:rsidR="00624ECD" w:rsidRDefault="00E978E1" w:rsidP="00275F35">
      <w:pPr>
        <w:spacing w:before="120" w:after="120" w:line="360" w:lineRule="auto"/>
        <w:jc w:val="both"/>
        <w:rPr>
          <w:b/>
          <w:lang w:val="en-IE"/>
        </w:rPr>
      </w:pPr>
      <w:r>
        <w:rPr>
          <w:b/>
          <w:lang w:val="en-IE"/>
        </w:rPr>
        <w:t>Step 1:</w:t>
      </w:r>
      <w:r>
        <w:rPr>
          <w:b/>
          <w:lang w:val="en-IE"/>
        </w:rPr>
        <w:tab/>
        <w:t>Loading IPCO reference</w:t>
      </w:r>
    </w:p>
    <w:p w:rsidR="00E978E1" w:rsidRPr="006701E6" w:rsidRDefault="00E978E1" w:rsidP="006701E6">
      <w:pPr>
        <w:spacing w:before="120" w:after="120" w:line="360" w:lineRule="auto"/>
        <w:jc w:val="both"/>
        <w:rPr>
          <w:rFonts w:ascii="Courier New" w:hAnsi="Courier New" w:cs="Courier New"/>
          <w:sz w:val="20"/>
          <w:lang w:val="en-IE"/>
        </w:rPr>
      </w:pPr>
      <w:proofErr w:type="spellStart"/>
      <w:r w:rsidRPr="006701E6">
        <w:rPr>
          <w:rFonts w:ascii="Courier New" w:hAnsi="Courier New" w:cs="Courier New"/>
          <w:sz w:val="20"/>
          <w:lang w:val="en-IE"/>
        </w:rPr>
        <w:t>load_</w:t>
      </w:r>
      <w:proofErr w:type="gramStart"/>
      <w:r w:rsidRPr="006701E6">
        <w:rPr>
          <w:rFonts w:ascii="Courier New" w:hAnsi="Courier New" w:cs="Courier New"/>
          <w:sz w:val="20"/>
          <w:lang w:val="en-IE"/>
        </w:rPr>
        <w:t>ref</w:t>
      </w:r>
      <w:proofErr w:type="spellEnd"/>
      <w:r w:rsidRPr="006701E6">
        <w:rPr>
          <w:rFonts w:ascii="Courier New" w:hAnsi="Courier New" w:cs="Courier New"/>
          <w:sz w:val="20"/>
          <w:lang w:val="en-IE"/>
        </w:rPr>
        <w:t>()</w:t>
      </w:r>
      <w:proofErr w:type="gramEnd"/>
    </w:p>
    <w:p w:rsidR="00E978E1" w:rsidRPr="006701E6" w:rsidRDefault="00E978E1" w:rsidP="00E978E1">
      <w:pPr>
        <w:spacing w:before="120" w:after="120" w:line="360" w:lineRule="auto"/>
        <w:ind w:left="709"/>
        <w:jc w:val="both"/>
        <w:rPr>
          <w:rFonts w:ascii="Courier New" w:hAnsi="Courier New" w:cs="Courier New"/>
          <w:sz w:val="20"/>
          <w:lang w:val="en-IE"/>
        </w:rPr>
      </w:pPr>
    </w:p>
    <w:p w:rsidR="00E978E1" w:rsidRPr="006701E6" w:rsidRDefault="00E978E1" w:rsidP="006701E6">
      <w:pPr>
        <w:spacing w:before="120" w:after="120" w:line="360" w:lineRule="auto"/>
        <w:jc w:val="both"/>
        <w:rPr>
          <w:rFonts w:ascii="Courier New" w:hAnsi="Courier New" w:cs="Courier New"/>
          <w:sz w:val="20"/>
          <w:lang w:val="en-IE"/>
        </w:rPr>
      </w:pPr>
      <w:r w:rsidRPr="006701E6">
        <w:rPr>
          <w:rFonts w:ascii="Courier New" w:hAnsi="Courier New" w:cs="Courier New"/>
          <w:sz w:val="20"/>
          <w:lang w:val="en-IE"/>
        </w:rPr>
        <w:t xml:space="preserve">Or </w:t>
      </w:r>
    </w:p>
    <w:p w:rsidR="00E978E1" w:rsidRDefault="00E978E1" w:rsidP="006701E6">
      <w:pPr>
        <w:spacing w:before="120" w:after="120" w:line="360" w:lineRule="auto"/>
        <w:jc w:val="both"/>
        <w:rPr>
          <w:b/>
          <w:lang w:val="en-IE"/>
        </w:rPr>
      </w:pPr>
      <w:proofErr w:type="spellStart"/>
      <w:r w:rsidRPr="006701E6">
        <w:rPr>
          <w:rFonts w:ascii="Courier New" w:hAnsi="Courier New" w:cs="Courier New"/>
          <w:sz w:val="20"/>
          <w:lang w:val="en-IE"/>
        </w:rPr>
        <w:t>load_</w:t>
      </w:r>
      <w:proofErr w:type="gramStart"/>
      <w:r w:rsidRPr="006701E6">
        <w:rPr>
          <w:rFonts w:ascii="Courier New" w:hAnsi="Courier New" w:cs="Courier New"/>
          <w:sz w:val="20"/>
          <w:lang w:val="en-IE"/>
        </w:rPr>
        <w:t>ref</w:t>
      </w:r>
      <w:proofErr w:type="spellEnd"/>
      <w:r w:rsidRPr="006701E6">
        <w:rPr>
          <w:rFonts w:ascii="Courier New" w:hAnsi="Courier New" w:cs="Courier New"/>
          <w:sz w:val="20"/>
          <w:lang w:val="en-IE"/>
        </w:rPr>
        <w:t>(</w:t>
      </w:r>
      <w:proofErr w:type="gramEnd"/>
      <w:r w:rsidRPr="006701E6">
        <w:rPr>
          <w:rFonts w:ascii="Courier New" w:hAnsi="Courier New" w:cs="Courier New"/>
          <w:sz w:val="20"/>
          <w:lang w:val="en-IE"/>
        </w:rPr>
        <w:t>samples=“HMP”)</w:t>
      </w:r>
    </w:p>
    <w:p w:rsidR="00E978E1" w:rsidRDefault="00E978E1" w:rsidP="006701E6">
      <w:pPr>
        <w:spacing w:before="120" w:after="120" w:line="360" w:lineRule="auto"/>
        <w:jc w:val="both"/>
        <w:rPr>
          <w:b/>
          <w:lang w:val="en-IE"/>
        </w:rPr>
      </w:pPr>
    </w:p>
    <w:p w:rsidR="00E978E1" w:rsidRDefault="00E978E1" w:rsidP="00E978E1">
      <w:pPr>
        <w:spacing w:before="120" w:after="120" w:line="360" w:lineRule="auto"/>
        <w:jc w:val="both"/>
        <w:rPr>
          <w:b/>
          <w:lang w:val="en-IE"/>
        </w:rPr>
      </w:pPr>
      <w:r>
        <w:rPr>
          <w:b/>
          <w:lang w:val="en-IE"/>
        </w:rPr>
        <w:t>Step 2: Normalisation</w:t>
      </w:r>
    </w:p>
    <w:p w:rsidR="00E978E1" w:rsidRPr="006701E6" w:rsidRDefault="00E978E1" w:rsidP="00E978E1">
      <w:pPr>
        <w:spacing w:before="120" w:after="120" w:line="360" w:lineRule="auto"/>
        <w:jc w:val="both"/>
        <w:rPr>
          <w:rFonts w:ascii="Courier New" w:hAnsi="Courier New" w:cs="Courier New"/>
          <w:sz w:val="20"/>
          <w:lang w:val="en-IE"/>
        </w:rPr>
      </w:pPr>
      <w:proofErr w:type="spellStart"/>
      <w:r w:rsidRPr="006701E6">
        <w:rPr>
          <w:rFonts w:ascii="Courier New" w:hAnsi="Courier New" w:cs="Courier New"/>
          <w:sz w:val="20"/>
          <w:lang w:val="en-IE"/>
        </w:rPr>
        <w:t>Ref_MetaCyc_norm</w:t>
      </w:r>
      <w:proofErr w:type="spellEnd"/>
      <w:r w:rsidRPr="006701E6">
        <w:rPr>
          <w:rFonts w:ascii="Courier New" w:hAnsi="Courier New" w:cs="Courier New"/>
          <w:sz w:val="20"/>
          <w:lang w:val="en-IE"/>
        </w:rPr>
        <w:t xml:space="preserve"> &lt;- </w:t>
      </w:r>
      <w:proofErr w:type="spellStart"/>
      <w:r w:rsidRPr="006701E6">
        <w:rPr>
          <w:rFonts w:ascii="Courier New" w:hAnsi="Courier New" w:cs="Courier New"/>
          <w:sz w:val="20"/>
          <w:lang w:val="en-IE"/>
        </w:rPr>
        <w:t>transform_</w:t>
      </w:r>
      <w:proofErr w:type="gramStart"/>
      <w:r w:rsidRPr="006701E6">
        <w:rPr>
          <w:rFonts w:ascii="Courier New" w:hAnsi="Courier New" w:cs="Courier New"/>
          <w:sz w:val="20"/>
          <w:lang w:val="en-IE"/>
        </w:rPr>
        <w:t>data</w:t>
      </w:r>
      <w:proofErr w:type="spellEnd"/>
      <w:r w:rsidRPr="006701E6">
        <w:rPr>
          <w:rFonts w:ascii="Courier New" w:hAnsi="Courier New" w:cs="Courier New"/>
          <w:sz w:val="20"/>
          <w:lang w:val="en-IE"/>
        </w:rPr>
        <w:t>(</w:t>
      </w:r>
      <w:proofErr w:type="gramEnd"/>
      <w:r w:rsidRPr="006701E6">
        <w:rPr>
          <w:rFonts w:ascii="Courier New" w:hAnsi="Courier New" w:cs="Courier New"/>
          <w:sz w:val="20"/>
          <w:lang w:val="en-IE"/>
        </w:rPr>
        <w:t>IPCO_</w:t>
      </w:r>
      <w:proofErr w:type="spellStart"/>
      <w:r w:rsidRPr="006701E6">
        <w:rPr>
          <w:rFonts w:ascii="Courier New" w:hAnsi="Courier New" w:cs="Courier New"/>
          <w:sz w:val="20"/>
          <w:lang w:val="en-IE"/>
        </w:rPr>
        <w:t>Healthy$MetaCyc</w:t>
      </w:r>
      <w:proofErr w:type="spellEnd"/>
      <w:r w:rsidRPr="006701E6">
        <w:rPr>
          <w:rFonts w:ascii="Courier New" w:hAnsi="Courier New" w:cs="Courier New"/>
          <w:sz w:val="20"/>
          <w:lang w:val="en-IE"/>
        </w:rPr>
        <w:t>,“</w:t>
      </w:r>
      <w:proofErr w:type="spellStart"/>
      <w:r w:rsidRPr="006701E6">
        <w:rPr>
          <w:rFonts w:ascii="Courier New" w:hAnsi="Courier New" w:cs="Courier New"/>
          <w:sz w:val="20"/>
          <w:lang w:val="en-IE"/>
        </w:rPr>
        <w:t>relab</w:t>
      </w:r>
      <w:proofErr w:type="spellEnd"/>
      <w:r w:rsidRPr="006701E6">
        <w:rPr>
          <w:rFonts w:ascii="Courier New" w:hAnsi="Courier New" w:cs="Courier New"/>
          <w:sz w:val="20"/>
          <w:lang w:val="en-IE"/>
        </w:rPr>
        <w:t>”)</w:t>
      </w:r>
    </w:p>
    <w:p w:rsidR="00E978E1" w:rsidRPr="006701E6" w:rsidRDefault="00E978E1" w:rsidP="00E978E1">
      <w:pPr>
        <w:spacing w:before="120" w:after="120" w:line="360" w:lineRule="auto"/>
        <w:jc w:val="both"/>
        <w:rPr>
          <w:rFonts w:ascii="Courier New" w:hAnsi="Courier New" w:cs="Courier New"/>
          <w:sz w:val="20"/>
          <w:lang w:val="en-IE"/>
        </w:rPr>
      </w:pPr>
      <w:proofErr w:type="spellStart"/>
      <w:r w:rsidRPr="006701E6">
        <w:rPr>
          <w:rFonts w:ascii="Courier New" w:hAnsi="Courier New" w:cs="Courier New"/>
          <w:sz w:val="20"/>
          <w:lang w:val="en-IE"/>
        </w:rPr>
        <w:t>Ref_</w:t>
      </w:r>
      <w:r w:rsidRPr="006701E6">
        <w:rPr>
          <w:rFonts w:ascii="Courier New" w:hAnsi="Courier New" w:cs="Courier New"/>
          <w:sz w:val="20"/>
          <w:lang w:val="en-IE"/>
        </w:rPr>
        <w:t>Species</w:t>
      </w:r>
      <w:r w:rsidRPr="006701E6">
        <w:rPr>
          <w:rFonts w:ascii="Courier New" w:hAnsi="Courier New" w:cs="Courier New"/>
          <w:sz w:val="20"/>
          <w:lang w:val="en-IE"/>
        </w:rPr>
        <w:t>_norm</w:t>
      </w:r>
      <w:proofErr w:type="spellEnd"/>
      <w:r w:rsidRPr="006701E6">
        <w:rPr>
          <w:rFonts w:ascii="Courier New" w:hAnsi="Courier New" w:cs="Courier New"/>
          <w:sz w:val="20"/>
          <w:lang w:val="en-IE"/>
        </w:rPr>
        <w:t xml:space="preserve"> &lt;- </w:t>
      </w:r>
      <w:proofErr w:type="spellStart"/>
      <w:r w:rsidRPr="006701E6">
        <w:rPr>
          <w:rFonts w:ascii="Courier New" w:hAnsi="Courier New" w:cs="Courier New"/>
          <w:sz w:val="20"/>
          <w:lang w:val="en-IE"/>
        </w:rPr>
        <w:t>transform_</w:t>
      </w:r>
      <w:proofErr w:type="gramStart"/>
      <w:r w:rsidRPr="006701E6">
        <w:rPr>
          <w:rFonts w:ascii="Courier New" w:hAnsi="Courier New" w:cs="Courier New"/>
          <w:sz w:val="20"/>
          <w:lang w:val="en-IE"/>
        </w:rPr>
        <w:t>data</w:t>
      </w:r>
      <w:proofErr w:type="spellEnd"/>
      <w:r w:rsidRPr="006701E6">
        <w:rPr>
          <w:rFonts w:ascii="Courier New" w:hAnsi="Courier New" w:cs="Courier New"/>
          <w:sz w:val="20"/>
          <w:lang w:val="en-IE"/>
        </w:rPr>
        <w:t>(</w:t>
      </w:r>
      <w:proofErr w:type="gramEnd"/>
      <w:r w:rsidRPr="006701E6">
        <w:rPr>
          <w:rFonts w:ascii="Courier New" w:hAnsi="Courier New" w:cs="Courier New"/>
          <w:sz w:val="20"/>
          <w:lang w:val="en-IE"/>
        </w:rPr>
        <w:t>IPCO_</w:t>
      </w:r>
      <w:proofErr w:type="spellStart"/>
      <w:r w:rsidRPr="006701E6">
        <w:rPr>
          <w:rFonts w:ascii="Courier New" w:hAnsi="Courier New" w:cs="Courier New"/>
          <w:sz w:val="20"/>
          <w:lang w:val="en-IE"/>
        </w:rPr>
        <w:t>Healthy$</w:t>
      </w:r>
      <w:r w:rsidRPr="006701E6">
        <w:rPr>
          <w:rFonts w:ascii="Courier New" w:hAnsi="Courier New" w:cs="Courier New"/>
          <w:sz w:val="20"/>
          <w:lang w:val="en-IE"/>
        </w:rPr>
        <w:t>Species</w:t>
      </w:r>
      <w:proofErr w:type="spellEnd"/>
      <w:r w:rsidRPr="006701E6">
        <w:rPr>
          <w:rFonts w:ascii="Courier New" w:hAnsi="Courier New" w:cs="Courier New"/>
          <w:sz w:val="20"/>
          <w:lang w:val="en-IE"/>
        </w:rPr>
        <w:t>,“</w:t>
      </w:r>
      <w:proofErr w:type="spellStart"/>
      <w:r w:rsidRPr="006701E6">
        <w:rPr>
          <w:rFonts w:ascii="Courier New" w:hAnsi="Courier New" w:cs="Courier New"/>
          <w:sz w:val="20"/>
          <w:lang w:val="en-IE"/>
        </w:rPr>
        <w:t>relab</w:t>
      </w:r>
      <w:proofErr w:type="spellEnd"/>
      <w:r w:rsidRPr="006701E6">
        <w:rPr>
          <w:rFonts w:ascii="Courier New" w:hAnsi="Courier New" w:cs="Courier New"/>
          <w:sz w:val="20"/>
          <w:lang w:val="en-IE"/>
        </w:rPr>
        <w:t>”)</w:t>
      </w:r>
    </w:p>
    <w:p w:rsidR="00E978E1" w:rsidRPr="006701E6" w:rsidRDefault="00E978E1" w:rsidP="006701E6">
      <w:pPr>
        <w:spacing w:before="120" w:after="120" w:line="360" w:lineRule="auto"/>
        <w:jc w:val="center"/>
        <w:rPr>
          <w:rFonts w:ascii="Courier New" w:hAnsi="Courier New" w:cs="Courier New"/>
          <w:b/>
          <w:sz w:val="20"/>
          <w:lang w:val="en-IE"/>
        </w:rPr>
      </w:pPr>
      <w:r w:rsidRPr="006701E6">
        <w:rPr>
          <w:rFonts w:ascii="Courier New" w:hAnsi="Courier New" w:cs="Courier New"/>
          <w:b/>
          <w:sz w:val="20"/>
          <w:lang w:val="en-IE"/>
        </w:rPr>
        <w:t>Or</w:t>
      </w:r>
    </w:p>
    <w:p w:rsidR="00E978E1" w:rsidRDefault="00E978E1" w:rsidP="00E978E1">
      <w:pPr>
        <w:spacing w:before="120" w:after="120" w:line="360" w:lineRule="auto"/>
        <w:jc w:val="both"/>
        <w:rPr>
          <w:rFonts w:ascii="Courier New" w:hAnsi="Courier New" w:cs="Courier New"/>
          <w:sz w:val="20"/>
          <w:lang w:val="en-IE"/>
        </w:rPr>
      </w:pPr>
      <w:proofErr w:type="spellStart"/>
      <w:r w:rsidRPr="006701E6">
        <w:rPr>
          <w:rFonts w:ascii="Courier New" w:hAnsi="Courier New" w:cs="Courier New"/>
          <w:sz w:val="20"/>
          <w:lang w:val="en-IE"/>
        </w:rPr>
        <w:t>Ref_</w:t>
      </w:r>
      <w:r w:rsidRPr="006701E6">
        <w:rPr>
          <w:rFonts w:ascii="Courier New" w:hAnsi="Courier New" w:cs="Courier New"/>
          <w:sz w:val="20"/>
          <w:lang w:val="en-IE"/>
        </w:rPr>
        <w:t>HMP_closed_OTU</w:t>
      </w:r>
      <w:r w:rsidRPr="006701E6">
        <w:rPr>
          <w:rFonts w:ascii="Courier New" w:hAnsi="Courier New" w:cs="Courier New"/>
          <w:sz w:val="20"/>
          <w:lang w:val="en-IE"/>
        </w:rPr>
        <w:t>_norm</w:t>
      </w:r>
      <w:proofErr w:type="spellEnd"/>
      <w:r w:rsidRPr="006701E6">
        <w:rPr>
          <w:rFonts w:ascii="Courier New" w:hAnsi="Courier New" w:cs="Courier New"/>
          <w:sz w:val="20"/>
          <w:lang w:val="en-IE"/>
        </w:rPr>
        <w:t xml:space="preserve"> &lt;- </w:t>
      </w:r>
      <w:proofErr w:type="spellStart"/>
      <w:r w:rsidRPr="006701E6">
        <w:rPr>
          <w:rFonts w:ascii="Courier New" w:hAnsi="Courier New" w:cs="Courier New"/>
          <w:sz w:val="20"/>
          <w:lang w:val="en-IE"/>
        </w:rPr>
        <w:t>transform_</w:t>
      </w:r>
      <w:proofErr w:type="gramStart"/>
      <w:r w:rsidRPr="006701E6">
        <w:rPr>
          <w:rFonts w:ascii="Courier New" w:hAnsi="Courier New" w:cs="Courier New"/>
          <w:sz w:val="20"/>
          <w:lang w:val="en-IE"/>
        </w:rPr>
        <w:t>data</w:t>
      </w:r>
      <w:proofErr w:type="spellEnd"/>
      <w:r w:rsidRPr="006701E6">
        <w:rPr>
          <w:rFonts w:ascii="Courier New" w:hAnsi="Courier New" w:cs="Courier New"/>
          <w:sz w:val="20"/>
          <w:lang w:val="en-IE"/>
        </w:rPr>
        <w:t>(</w:t>
      </w:r>
      <w:proofErr w:type="gramEnd"/>
      <w:r w:rsidRPr="006701E6">
        <w:rPr>
          <w:rFonts w:ascii="Courier New" w:hAnsi="Courier New" w:cs="Courier New"/>
          <w:sz w:val="20"/>
          <w:lang w:val="en-IE"/>
        </w:rPr>
        <w:t>IPCO_H</w:t>
      </w:r>
      <w:r w:rsidRPr="006701E6">
        <w:rPr>
          <w:rFonts w:ascii="Courier New" w:hAnsi="Courier New" w:cs="Courier New"/>
          <w:sz w:val="20"/>
          <w:lang w:val="en-IE"/>
        </w:rPr>
        <w:t>MP</w:t>
      </w:r>
      <w:r w:rsidRPr="006701E6">
        <w:rPr>
          <w:rFonts w:ascii="Courier New" w:hAnsi="Courier New" w:cs="Courier New"/>
          <w:sz w:val="20"/>
          <w:lang w:val="en-IE"/>
        </w:rPr>
        <w:t>$</w:t>
      </w:r>
      <w:r w:rsidR="006701E6" w:rsidRPr="006701E6">
        <w:rPr>
          <w:rFonts w:ascii="Courier New" w:hAnsi="Courier New" w:cs="Courier New"/>
          <w:sz w:val="20"/>
          <w:lang w:val="en-IE"/>
        </w:rPr>
        <w:t>closed_16S</w:t>
      </w:r>
      <w:r w:rsidRPr="006701E6">
        <w:rPr>
          <w:rFonts w:ascii="Courier New" w:hAnsi="Courier New" w:cs="Courier New"/>
          <w:sz w:val="20"/>
          <w:lang w:val="en-IE"/>
        </w:rPr>
        <w:t>,“</w:t>
      </w:r>
      <w:r w:rsidR="006701E6" w:rsidRPr="006701E6">
        <w:rPr>
          <w:rFonts w:ascii="Courier New" w:hAnsi="Courier New" w:cs="Courier New"/>
          <w:sz w:val="20"/>
          <w:lang w:val="en-IE"/>
        </w:rPr>
        <w:t>count</w:t>
      </w:r>
      <w:r w:rsidRPr="006701E6">
        <w:rPr>
          <w:rFonts w:ascii="Courier New" w:hAnsi="Courier New" w:cs="Courier New"/>
          <w:sz w:val="20"/>
          <w:lang w:val="en-IE"/>
        </w:rPr>
        <w:t>”)</w:t>
      </w:r>
    </w:p>
    <w:p w:rsidR="006701E6" w:rsidRDefault="006701E6" w:rsidP="00E978E1">
      <w:pPr>
        <w:spacing w:before="120" w:after="120" w:line="360" w:lineRule="auto"/>
        <w:jc w:val="both"/>
        <w:rPr>
          <w:rFonts w:ascii="Courier New" w:hAnsi="Courier New" w:cs="Courier New"/>
          <w:sz w:val="20"/>
          <w:lang w:val="en-IE"/>
        </w:rPr>
      </w:pPr>
    </w:p>
    <w:p w:rsidR="006701E6" w:rsidRDefault="006701E6" w:rsidP="00E978E1">
      <w:pPr>
        <w:spacing w:before="120" w:after="120" w:line="360" w:lineRule="auto"/>
        <w:jc w:val="both"/>
        <w:rPr>
          <w:b/>
          <w:lang w:val="en-IE"/>
        </w:rPr>
      </w:pPr>
    </w:p>
    <w:p w:rsidR="006701E6" w:rsidRDefault="006701E6" w:rsidP="00E978E1">
      <w:pPr>
        <w:spacing w:before="120" w:after="120" w:line="360" w:lineRule="auto"/>
        <w:jc w:val="both"/>
        <w:rPr>
          <w:b/>
          <w:lang w:val="en-IE"/>
        </w:rPr>
      </w:pPr>
    </w:p>
    <w:p w:rsidR="006701E6" w:rsidRDefault="006701E6" w:rsidP="00E978E1">
      <w:pPr>
        <w:spacing w:before="120" w:after="120" w:line="360" w:lineRule="auto"/>
        <w:jc w:val="both"/>
        <w:rPr>
          <w:b/>
          <w:lang w:val="en-IE"/>
        </w:rPr>
      </w:pPr>
    </w:p>
    <w:p w:rsidR="006701E6" w:rsidRPr="006701E6" w:rsidRDefault="006701E6" w:rsidP="00E978E1">
      <w:pPr>
        <w:spacing w:before="120" w:after="120" w:line="360" w:lineRule="auto"/>
        <w:jc w:val="both"/>
        <w:rPr>
          <w:b/>
          <w:lang w:val="en-IE"/>
        </w:rPr>
      </w:pPr>
      <w:r w:rsidRPr="006701E6">
        <w:rPr>
          <w:b/>
          <w:lang w:val="en-IE"/>
        </w:rPr>
        <w:t>Step 3: Filtering</w:t>
      </w:r>
    </w:p>
    <w:p w:rsidR="006701E6" w:rsidRDefault="006701E6" w:rsidP="006701E6">
      <w:pPr>
        <w:spacing w:before="120" w:after="120" w:line="360" w:lineRule="auto"/>
        <w:ind w:left="2977" w:hanging="2977"/>
        <w:jc w:val="both"/>
        <w:rPr>
          <w:rFonts w:ascii="Courier New" w:hAnsi="Courier New" w:cs="Courier New"/>
          <w:sz w:val="20"/>
          <w:lang w:val="en-IE"/>
        </w:rPr>
      </w:pPr>
      <w:proofErr w:type="spellStart"/>
      <w:r>
        <w:rPr>
          <w:rFonts w:ascii="Courier New" w:hAnsi="Courier New" w:cs="Courier New"/>
          <w:sz w:val="20"/>
          <w:lang w:val="en-IE"/>
        </w:rPr>
        <w:t>Ref_MetaCyc_filter</w:t>
      </w:r>
      <w:proofErr w:type="spellEnd"/>
      <w:r>
        <w:rPr>
          <w:rFonts w:ascii="Courier New" w:hAnsi="Courier New" w:cs="Courier New"/>
          <w:sz w:val="20"/>
          <w:lang w:val="en-IE"/>
        </w:rPr>
        <w:t xml:space="preserve"> &lt;- </w:t>
      </w:r>
      <w:proofErr w:type="spellStart"/>
      <w:r>
        <w:rPr>
          <w:rFonts w:ascii="Courier New" w:hAnsi="Courier New" w:cs="Courier New"/>
          <w:sz w:val="20"/>
          <w:lang w:val="en-IE"/>
        </w:rPr>
        <w:t>filter_</w:t>
      </w:r>
      <w:proofErr w:type="gramStart"/>
      <w:r>
        <w:rPr>
          <w:rFonts w:ascii="Courier New" w:hAnsi="Courier New" w:cs="Courier New"/>
          <w:sz w:val="20"/>
          <w:lang w:val="en-IE"/>
        </w:rPr>
        <w:t>functionality</w:t>
      </w:r>
      <w:proofErr w:type="spellEnd"/>
      <w:r>
        <w:rPr>
          <w:rFonts w:ascii="Courier New" w:hAnsi="Courier New" w:cs="Courier New"/>
          <w:sz w:val="20"/>
          <w:lang w:val="en-IE"/>
        </w:rPr>
        <w:t>(</w:t>
      </w:r>
      <w:proofErr w:type="spellStart"/>
      <w:proofErr w:type="gramEnd"/>
      <w:r w:rsidRPr="006701E6">
        <w:rPr>
          <w:rFonts w:ascii="Courier New" w:hAnsi="Courier New" w:cs="Courier New"/>
          <w:sz w:val="20"/>
          <w:lang w:val="en-IE"/>
        </w:rPr>
        <w:t>Ref_MetaCyc_norm</w:t>
      </w:r>
      <w:proofErr w:type="spellEnd"/>
      <w:r>
        <w:rPr>
          <w:rFonts w:ascii="Courier New" w:hAnsi="Courier New" w:cs="Courier New"/>
          <w:sz w:val="20"/>
          <w:lang w:val="en-IE"/>
        </w:rPr>
        <w:t>, “</w:t>
      </w:r>
      <w:proofErr w:type="spellStart"/>
      <w:r>
        <w:rPr>
          <w:rFonts w:ascii="Courier New" w:hAnsi="Courier New" w:cs="Courier New"/>
          <w:sz w:val="20"/>
          <w:lang w:val="en-IE"/>
        </w:rPr>
        <w:t>metacyc</w:t>
      </w:r>
      <w:proofErr w:type="spellEnd"/>
      <w:r>
        <w:rPr>
          <w:rFonts w:ascii="Courier New" w:hAnsi="Courier New" w:cs="Courier New"/>
          <w:sz w:val="20"/>
          <w:lang w:val="en-IE"/>
        </w:rPr>
        <w:t>”</w:t>
      </w:r>
      <w:r w:rsidRPr="006701E6">
        <w:rPr>
          <w:rFonts w:ascii="Courier New" w:hAnsi="Courier New" w:cs="Courier New"/>
          <w:sz w:val="20"/>
          <w:lang w:val="en-IE"/>
        </w:rPr>
        <w:t xml:space="preserve">, </w:t>
      </w:r>
      <w:proofErr w:type="spellStart"/>
      <w:r>
        <w:rPr>
          <w:rFonts w:ascii="Courier New" w:hAnsi="Courier New" w:cs="Courier New"/>
          <w:sz w:val="20"/>
          <w:lang w:val="en-IE"/>
        </w:rPr>
        <w:t>IPCO_Healthy$MetaCyc_coverage</w:t>
      </w:r>
      <w:proofErr w:type="spellEnd"/>
      <w:r>
        <w:rPr>
          <w:rFonts w:ascii="Courier New" w:hAnsi="Courier New" w:cs="Courier New"/>
          <w:sz w:val="20"/>
          <w:lang w:val="en-IE"/>
        </w:rPr>
        <w:t>)</w:t>
      </w:r>
    </w:p>
    <w:p w:rsidR="006701E6" w:rsidRDefault="006701E6" w:rsidP="006701E6">
      <w:pPr>
        <w:spacing w:before="120" w:after="120" w:line="360" w:lineRule="auto"/>
        <w:ind w:left="2977" w:hanging="2977"/>
        <w:jc w:val="both"/>
        <w:rPr>
          <w:rFonts w:ascii="Courier New" w:hAnsi="Courier New" w:cs="Courier New"/>
          <w:sz w:val="20"/>
          <w:lang w:val="en-IE"/>
        </w:rPr>
      </w:pPr>
      <w:r>
        <w:rPr>
          <w:rFonts w:ascii="Courier New" w:hAnsi="Courier New" w:cs="Courier New"/>
          <w:sz w:val="20"/>
          <w:lang w:val="en-IE"/>
        </w:rPr>
        <w:t>Or</w:t>
      </w:r>
    </w:p>
    <w:p w:rsidR="006701E6" w:rsidRDefault="006701E6" w:rsidP="006701E6">
      <w:pPr>
        <w:spacing w:before="120" w:after="120" w:line="360" w:lineRule="auto"/>
        <w:ind w:left="2977" w:hanging="2977"/>
        <w:jc w:val="both"/>
        <w:rPr>
          <w:rFonts w:ascii="Courier New" w:hAnsi="Courier New" w:cs="Courier New"/>
          <w:sz w:val="20"/>
          <w:lang w:val="en-IE"/>
        </w:rPr>
      </w:pPr>
      <w:proofErr w:type="spellStart"/>
      <w:r>
        <w:rPr>
          <w:rFonts w:ascii="Courier New" w:hAnsi="Courier New" w:cs="Courier New"/>
          <w:sz w:val="20"/>
          <w:lang w:val="en-IE"/>
        </w:rPr>
        <w:t>Ref_MetaCyc_filter</w:t>
      </w:r>
      <w:proofErr w:type="spellEnd"/>
      <w:r>
        <w:rPr>
          <w:rFonts w:ascii="Courier New" w:hAnsi="Courier New" w:cs="Courier New"/>
          <w:sz w:val="20"/>
          <w:lang w:val="en-IE"/>
        </w:rPr>
        <w:t xml:space="preserve"> &lt;- </w:t>
      </w:r>
      <w:proofErr w:type="spellStart"/>
      <w:r>
        <w:rPr>
          <w:rFonts w:ascii="Courier New" w:hAnsi="Courier New" w:cs="Courier New"/>
          <w:sz w:val="20"/>
          <w:lang w:val="en-IE"/>
        </w:rPr>
        <w:t>filter_</w:t>
      </w:r>
      <w:proofErr w:type="gramStart"/>
      <w:r>
        <w:rPr>
          <w:rFonts w:ascii="Courier New" w:hAnsi="Courier New" w:cs="Courier New"/>
          <w:sz w:val="20"/>
          <w:lang w:val="en-IE"/>
        </w:rPr>
        <w:t>functionality</w:t>
      </w:r>
      <w:proofErr w:type="spellEnd"/>
      <w:r>
        <w:rPr>
          <w:rFonts w:ascii="Courier New" w:hAnsi="Courier New" w:cs="Courier New"/>
          <w:sz w:val="20"/>
          <w:lang w:val="en-IE"/>
        </w:rPr>
        <w:t>(</w:t>
      </w:r>
      <w:proofErr w:type="spellStart"/>
      <w:proofErr w:type="gramEnd"/>
      <w:r w:rsidRPr="006701E6">
        <w:rPr>
          <w:rFonts w:ascii="Courier New" w:hAnsi="Courier New" w:cs="Courier New"/>
          <w:sz w:val="20"/>
          <w:lang w:val="en-IE"/>
        </w:rPr>
        <w:t>Ref_MetaCyc_norm</w:t>
      </w:r>
      <w:proofErr w:type="spellEnd"/>
      <w:r>
        <w:rPr>
          <w:rFonts w:ascii="Courier New" w:hAnsi="Courier New" w:cs="Courier New"/>
          <w:sz w:val="20"/>
          <w:lang w:val="en-IE"/>
        </w:rPr>
        <w:t>, “</w:t>
      </w:r>
      <w:proofErr w:type="spellStart"/>
      <w:r>
        <w:rPr>
          <w:rFonts w:ascii="Courier New" w:hAnsi="Courier New" w:cs="Courier New"/>
          <w:sz w:val="20"/>
          <w:lang w:val="en-IE"/>
        </w:rPr>
        <w:t>metacyc</w:t>
      </w:r>
      <w:proofErr w:type="spellEnd"/>
      <w:r>
        <w:rPr>
          <w:rFonts w:ascii="Courier New" w:hAnsi="Courier New" w:cs="Courier New"/>
          <w:sz w:val="20"/>
          <w:lang w:val="en-IE"/>
        </w:rPr>
        <w:t>”</w:t>
      </w:r>
      <w:r w:rsidRPr="006701E6">
        <w:rPr>
          <w:rFonts w:ascii="Courier New" w:hAnsi="Courier New" w:cs="Courier New"/>
          <w:sz w:val="20"/>
          <w:lang w:val="en-IE"/>
        </w:rPr>
        <w:t xml:space="preserve">, </w:t>
      </w:r>
      <w:proofErr w:type="spellStart"/>
      <w:r>
        <w:rPr>
          <w:rFonts w:ascii="Courier New" w:hAnsi="Courier New" w:cs="Courier New"/>
          <w:sz w:val="20"/>
          <w:lang w:val="en-IE"/>
        </w:rPr>
        <w:t>IPCO_Healthy$MetaCyc_coverage</w:t>
      </w:r>
      <w:proofErr w:type="spellEnd"/>
      <w:r>
        <w:rPr>
          <w:rFonts w:ascii="Courier New" w:hAnsi="Courier New" w:cs="Courier New"/>
          <w:sz w:val="20"/>
          <w:lang w:val="en-IE"/>
        </w:rPr>
        <w:t>, threshold=0.4</w:t>
      </w:r>
      <w:r>
        <w:rPr>
          <w:rFonts w:ascii="Courier New" w:hAnsi="Courier New" w:cs="Courier New"/>
          <w:sz w:val="20"/>
          <w:lang w:val="en-IE"/>
        </w:rPr>
        <w:t>)</w:t>
      </w:r>
    </w:p>
    <w:p w:rsidR="006701E6" w:rsidRPr="00B174E9" w:rsidRDefault="006701E6" w:rsidP="006701E6">
      <w:pPr>
        <w:spacing w:before="120" w:after="120" w:line="360" w:lineRule="auto"/>
        <w:ind w:left="2977" w:hanging="2977"/>
        <w:jc w:val="both"/>
        <w:rPr>
          <w:sz w:val="20"/>
          <w:lang w:val="en-IE"/>
        </w:rPr>
      </w:pPr>
      <w:r w:rsidRPr="00B174E9">
        <w:rPr>
          <w:b/>
          <w:lang w:val="en-IE"/>
        </w:rPr>
        <w:t>Note:</w:t>
      </w:r>
      <w:r w:rsidRPr="00B174E9">
        <w:rPr>
          <w:lang w:val="en-IE"/>
        </w:rPr>
        <w:t xml:space="preserve"> Filtering out pathways whose mean coverage is below 40</w:t>
      </w:r>
      <w:r w:rsidRPr="00B174E9">
        <w:rPr>
          <w:vertAlign w:val="superscript"/>
          <w:lang w:val="en-IE"/>
        </w:rPr>
        <w:t>th</w:t>
      </w:r>
      <w:r w:rsidRPr="00B174E9">
        <w:rPr>
          <w:lang w:val="en-IE"/>
        </w:rPr>
        <w:t xml:space="preserve"> percentile.</w:t>
      </w:r>
    </w:p>
    <w:p w:rsidR="006701E6" w:rsidRPr="006701E6" w:rsidRDefault="006701E6" w:rsidP="006701E6">
      <w:pPr>
        <w:spacing w:before="120" w:after="120" w:line="360" w:lineRule="auto"/>
        <w:ind w:left="2977" w:hanging="2977"/>
        <w:jc w:val="both"/>
        <w:rPr>
          <w:rFonts w:ascii="Courier New" w:hAnsi="Courier New" w:cs="Courier New"/>
          <w:sz w:val="20"/>
          <w:lang w:val="en-IE"/>
        </w:rPr>
      </w:pPr>
    </w:p>
    <w:p w:rsidR="006701E6" w:rsidRPr="006701E6" w:rsidRDefault="006701E6" w:rsidP="00E978E1">
      <w:pPr>
        <w:spacing w:before="120" w:after="120" w:line="360" w:lineRule="auto"/>
        <w:jc w:val="both"/>
        <w:rPr>
          <w:b/>
          <w:lang w:val="en-IE"/>
        </w:rPr>
      </w:pPr>
      <w:r w:rsidRPr="006701E6">
        <w:rPr>
          <w:b/>
          <w:lang w:val="en-IE"/>
        </w:rPr>
        <w:t>Step 4: Inference</w:t>
      </w:r>
    </w:p>
    <w:p w:rsidR="006701E6" w:rsidRPr="00B174E9" w:rsidRDefault="006701E6" w:rsidP="00E978E1">
      <w:pPr>
        <w:spacing w:before="120" w:after="120" w:line="360" w:lineRule="auto"/>
        <w:jc w:val="both"/>
        <w:rPr>
          <w:rFonts w:ascii="Courier New" w:hAnsi="Courier New" w:cs="Courier New"/>
          <w:sz w:val="20"/>
          <w:lang w:val="en-IE"/>
        </w:rPr>
      </w:pPr>
      <w:proofErr w:type="spellStart"/>
      <w:r w:rsidRPr="00B174E9">
        <w:rPr>
          <w:rFonts w:ascii="Courier New" w:hAnsi="Courier New" w:cs="Courier New"/>
          <w:sz w:val="20"/>
          <w:lang w:val="en-IE"/>
        </w:rPr>
        <w:t>IPCO_inferred</w:t>
      </w:r>
      <w:proofErr w:type="spellEnd"/>
      <w:r w:rsidRPr="00B174E9">
        <w:rPr>
          <w:rFonts w:ascii="Courier New" w:hAnsi="Courier New" w:cs="Courier New"/>
          <w:sz w:val="20"/>
          <w:lang w:val="en-IE"/>
        </w:rPr>
        <w:t xml:space="preserve"> &lt;- </w:t>
      </w:r>
      <w:proofErr w:type="gramStart"/>
      <w:r w:rsidRPr="00B174E9">
        <w:rPr>
          <w:rFonts w:ascii="Courier New" w:hAnsi="Courier New" w:cs="Courier New"/>
          <w:sz w:val="20"/>
          <w:lang w:val="en-IE"/>
        </w:rPr>
        <w:t>IPCO(</w:t>
      </w:r>
      <w:proofErr w:type="spellStart"/>
      <w:proofErr w:type="gramEnd"/>
      <w:r w:rsidRPr="00B174E9">
        <w:rPr>
          <w:rFonts w:ascii="Courier New" w:hAnsi="Courier New" w:cs="Courier New"/>
          <w:sz w:val="20"/>
          <w:lang w:val="en-IE"/>
        </w:rPr>
        <w:t>Ref_MetaCyc_filter</w:t>
      </w:r>
      <w:proofErr w:type="spellEnd"/>
      <w:r w:rsidRPr="00B174E9">
        <w:rPr>
          <w:rFonts w:ascii="Courier New" w:hAnsi="Courier New" w:cs="Courier New"/>
          <w:sz w:val="20"/>
          <w:lang w:val="en-IE"/>
        </w:rPr>
        <w:t xml:space="preserve">, </w:t>
      </w:r>
      <w:proofErr w:type="spellStart"/>
      <w:r w:rsidRPr="00B174E9">
        <w:rPr>
          <w:rFonts w:ascii="Courier New" w:hAnsi="Courier New" w:cs="Courier New"/>
          <w:sz w:val="20"/>
          <w:lang w:val="en-IE"/>
        </w:rPr>
        <w:t>Ref_Species_norm</w:t>
      </w:r>
      <w:proofErr w:type="spellEnd"/>
      <w:r w:rsidRPr="00B174E9">
        <w:rPr>
          <w:rFonts w:ascii="Courier New" w:hAnsi="Courier New" w:cs="Courier New"/>
          <w:sz w:val="20"/>
          <w:lang w:val="en-IE"/>
        </w:rPr>
        <w:t xml:space="preserve">, </w:t>
      </w:r>
      <w:proofErr w:type="spellStart"/>
      <w:r w:rsidRPr="00B174E9">
        <w:rPr>
          <w:rFonts w:ascii="Courier New" w:hAnsi="Courier New" w:cs="Courier New"/>
          <w:sz w:val="20"/>
          <w:lang w:val="en-IE"/>
        </w:rPr>
        <w:t>queried_dataset</w:t>
      </w:r>
      <w:proofErr w:type="spellEnd"/>
      <w:r w:rsidRPr="00B174E9">
        <w:rPr>
          <w:rFonts w:ascii="Courier New" w:hAnsi="Courier New" w:cs="Courier New"/>
          <w:sz w:val="20"/>
          <w:lang w:val="en-IE"/>
        </w:rPr>
        <w:t>)</w:t>
      </w:r>
    </w:p>
    <w:p w:rsidR="006701E6" w:rsidRPr="00B174E9" w:rsidRDefault="006701E6" w:rsidP="00E978E1">
      <w:pPr>
        <w:spacing w:before="120" w:after="120" w:line="360" w:lineRule="auto"/>
        <w:jc w:val="both"/>
        <w:rPr>
          <w:rFonts w:ascii="Courier New" w:hAnsi="Courier New" w:cs="Courier New"/>
          <w:sz w:val="20"/>
          <w:lang w:val="en-IE"/>
        </w:rPr>
      </w:pPr>
    </w:p>
    <w:p w:rsidR="00B174E9" w:rsidRDefault="00B174E9" w:rsidP="00E978E1">
      <w:pPr>
        <w:spacing w:before="120" w:after="120" w:line="360" w:lineRule="auto"/>
        <w:jc w:val="both"/>
        <w:rPr>
          <w:b/>
          <w:lang w:val="en-IE"/>
        </w:rPr>
      </w:pPr>
      <w:r>
        <w:rPr>
          <w:b/>
          <w:lang w:val="en-IE"/>
        </w:rPr>
        <w:t>In case using in-house reference datasets</w:t>
      </w:r>
    </w:p>
    <w:p w:rsidR="006701E6" w:rsidRDefault="006701E6" w:rsidP="00E978E1">
      <w:pPr>
        <w:spacing w:before="120" w:after="120" w:line="360" w:lineRule="auto"/>
        <w:jc w:val="both"/>
        <w:rPr>
          <w:b/>
          <w:lang w:val="en-IE"/>
        </w:rPr>
      </w:pPr>
      <w:r w:rsidRPr="006701E6">
        <w:rPr>
          <w:b/>
          <w:lang w:val="en-IE"/>
        </w:rPr>
        <w:t xml:space="preserve">Step 5: Check </w:t>
      </w:r>
      <w:proofErr w:type="spellStart"/>
      <w:r w:rsidRPr="006701E6">
        <w:rPr>
          <w:b/>
          <w:lang w:val="en-IE"/>
        </w:rPr>
        <w:t>coinertia</w:t>
      </w:r>
      <w:proofErr w:type="spellEnd"/>
      <w:r w:rsidRPr="006701E6">
        <w:rPr>
          <w:b/>
          <w:lang w:val="en-IE"/>
        </w:rPr>
        <w:t xml:space="preserve"> </w:t>
      </w:r>
    </w:p>
    <w:p w:rsidR="00E978E1" w:rsidRDefault="00B174E9" w:rsidP="00275F35">
      <w:pPr>
        <w:spacing w:before="120" w:after="120" w:line="360" w:lineRule="auto"/>
        <w:jc w:val="both"/>
        <w:rPr>
          <w:rFonts w:ascii="Courier New" w:hAnsi="Courier New" w:cs="Courier New"/>
          <w:sz w:val="20"/>
          <w:lang w:val="en-IE"/>
        </w:rPr>
      </w:pPr>
      <w:proofErr w:type="spellStart"/>
      <w:r>
        <w:rPr>
          <w:rFonts w:ascii="Courier New" w:hAnsi="Courier New" w:cs="Courier New"/>
          <w:sz w:val="20"/>
          <w:lang w:val="en-IE"/>
        </w:rPr>
        <w:t>coinertia_resuls</w:t>
      </w:r>
      <w:proofErr w:type="spellEnd"/>
      <w:r>
        <w:rPr>
          <w:rFonts w:ascii="Courier New" w:hAnsi="Courier New" w:cs="Courier New"/>
          <w:sz w:val="20"/>
          <w:lang w:val="en-IE"/>
        </w:rPr>
        <w:t xml:space="preserve"> &lt;- </w:t>
      </w:r>
      <w:proofErr w:type="spellStart"/>
      <w:r w:rsidRPr="00B174E9">
        <w:rPr>
          <w:rFonts w:ascii="Courier New" w:hAnsi="Courier New" w:cs="Courier New"/>
          <w:sz w:val="20"/>
          <w:lang w:val="en-IE"/>
        </w:rPr>
        <w:t>check_</w:t>
      </w:r>
      <w:proofErr w:type="gramStart"/>
      <w:r w:rsidRPr="00B174E9">
        <w:rPr>
          <w:rFonts w:ascii="Courier New" w:hAnsi="Courier New" w:cs="Courier New"/>
          <w:sz w:val="20"/>
          <w:lang w:val="en-IE"/>
        </w:rPr>
        <w:t>coinertia</w:t>
      </w:r>
      <w:proofErr w:type="spellEnd"/>
      <w:r w:rsidRPr="00B174E9">
        <w:rPr>
          <w:rFonts w:ascii="Courier New" w:hAnsi="Courier New" w:cs="Courier New"/>
          <w:sz w:val="20"/>
          <w:lang w:val="en-IE"/>
        </w:rPr>
        <w:t>(</w:t>
      </w:r>
      <w:proofErr w:type="spellStart"/>
      <w:proofErr w:type="gramEnd"/>
      <w:r>
        <w:rPr>
          <w:rFonts w:ascii="Courier New" w:hAnsi="Courier New" w:cs="Courier New"/>
          <w:sz w:val="20"/>
          <w:lang w:val="en-IE"/>
        </w:rPr>
        <w:t>taxonomy_table,functional_table</w:t>
      </w:r>
      <w:proofErr w:type="spellEnd"/>
      <w:r>
        <w:rPr>
          <w:rFonts w:ascii="Courier New" w:hAnsi="Courier New" w:cs="Courier New"/>
          <w:sz w:val="20"/>
          <w:lang w:val="en-IE"/>
        </w:rPr>
        <w:t>)</w:t>
      </w:r>
    </w:p>
    <w:p w:rsidR="00B174E9" w:rsidRPr="00B174E9" w:rsidRDefault="00B174E9" w:rsidP="00275F35">
      <w:pPr>
        <w:spacing w:before="120" w:after="120" w:line="360" w:lineRule="auto"/>
        <w:jc w:val="both"/>
        <w:rPr>
          <w:lang w:val="en-IE"/>
        </w:rPr>
      </w:pPr>
      <w:r w:rsidRPr="00B174E9">
        <w:rPr>
          <w:b/>
          <w:lang w:val="en-IE"/>
        </w:rPr>
        <w:t>Note:</w:t>
      </w:r>
      <w:r w:rsidRPr="00B174E9">
        <w:rPr>
          <w:lang w:val="en-IE"/>
        </w:rPr>
        <w:t xml:space="preserve"> Ensure that the taxonomy and functional tables contains the same samples</w:t>
      </w:r>
      <w:r>
        <w:rPr>
          <w:lang w:val="en-IE"/>
        </w:rPr>
        <w:t xml:space="preserve"> and in the same order</w:t>
      </w:r>
      <w:r w:rsidRPr="00B174E9">
        <w:rPr>
          <w:lang w:val="en-IE"/>
        </w:rPr>
        <w:t>.</w:t>
      </w:r>
    </w:p>
    <w:sectPr w:rsidR="00B174E9" w:rsidRPr="00B17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6CC"/>
    <w:multiLevelType w:val="hybridMultilevel"/>
    <w:tmpl w:val="8BA26F04"/>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09926595"/>
    <w:multiLevelType w:val="hybridMultilevel"/>
    <w:tmpl w:val="BD6A4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C14BF9"/>
    <w:multiLevelType w:val="hybridMultilevel"/>
    <w:tmpl w:val="B870339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503551"/>
    <w:multiLevelType w:val="hybridMultilevel"/>
    <w:tmpl w:val="68BA26A4"/>
    <w:lvl w:ilvl="0" w:tplc="08090011">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697B6300"/>
    <w:multiLevelType w:val="hybridMultilevel"/>
    <w:tmpl w:val="7B46A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7F"/>
    <w:rsid w:val="00106A00"/>
    <w:rsid w:val="00125D2E"/>
    <w:rsid w:val="00275F35"/>
    <w:rsid w:val="003D29EB"/>
    <w:rsid w:val="0057447F"/>
    <w:rsid w:val="00624ECD"/>
    <w:rsid w:val="006701E6"/>
    <w:rsid w:val="007D3140"/>
    <w:rsid w:val="00A82830"/>
    <w:rsid w:val="00B174E9"/>
    <w:rsid w:val="00D12EA0"/>
    <w:rsid w:val="00E978E1"/>
    <w:rsid w:val="00F00F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7070"/>
  <w15:chartTrackingRefBased/>
  <w15:docId w15:val="{ACED4970-0C99-4341-973F-8C28E082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830"/>
    <w:rPr>
      <w:color w:val="0563C1" w:themeColor="hyperlink"/>
      <w:u w:val="single"/>
    </w:rPr>
  </w:style>
  <w:style w:type="paragraph" w:styleId="ListParagraph">
    <w:name w:val="List Paragraph"/>
    <w:basedOn w:val="Normal"/>
    <w:uiPriority w:val="34"/>
    <w:qFormat/>
    <w:rsid w:val="00A8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1010">
      <w:bodyDiv w:val="1"/>
      <w:marLeft w:val="0"/>
      <w:marRight w:val="0"/>
      <w:marTop w:val="0"/>
      <w:marBottom w:val="0"/>
      <w:divBdr>
        <w:top w:val="none" w:sz="0" w:space="0" w:color="auto"/>
        <w:left w:val="none" w:sz="0" w:space="0" w:color="auto"/>
        <w:bottom w:val="none" w:sz="0" w:space="0" w:color="auto"/>
        <w:right w:val="none" w:sz="0" w:space="0" w:color="auto"/>
      </w:divBdr>
    </w:div>
    <w:div w:id="17172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PCO-Rlibrary/IP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jeffery@ucc.ie" TargetMode="External"/><Relationship Id="rId5" Type="http://schemas.openxmlformats.org/officeDocument/2006/relationships/hyperlink" Target="https://github.com/IPCO-Rlibrary/IP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Mrinmoy_Das</dc:creator>
  <cp:keywords/>
  <dc:description/>
  <cp:lastModifiedBy>Mrinmoy_Das</cp:lastModifiedBy>
  <cp:revision>2</cp:revision>
  <dcterms:created xsi:type="dcterms:W3CDTF">2019-06-15T14:05:00Z</dcterms:created>
  <dcterms:modified xsi:type="dcterms:W3CDTF">2019-06-15T16:08:00Z</dcterms:modified>
</cp:coreProperties>
</file>