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 Factory Privacy Policy</w:t>
      </w:r>
    </w:p>
    <w:p>
      <w:pPr>
        <w:pStyle w:val="Subtitle"/>
      </w:pPr>
      <w:r>
        <w:rPr>
          <w:rFonts w:ascii="Arial" w:hAnsi="Arial"/>
          <w:color w:val="5A626C"/>
          <w:sz w:val="21"/>
        </w:rPr>
        <w:t>Effective date: 14 October 2026 | Privacy contact: info@ipfactory.co</w:t>
      </w:r>
    </w:p>
    <w:tbl>
      <w:tblPr>
        <w:tblW w:type="auto" w:w="0"/>
        <w:tblLayout w:type="autofit"/>
        <w:tblLook w:firstColumn="1" w:firstRow="1" w:lastColumn="0" w:lastRow="0" w:noHBand="0" w:noVBand="1" w:val="04A0"/>
      </w:tblPr>
      <w:tblGrid>
        <w:gridCol w:w="9936"/>
      </w:tblGrid>
      <w:tr>
        <w:tc>
          <w:tcPr>
            <w:tcW w:type="dxa" w:w="9936"/>
            <w:shd w:fill="F1F5F9"/>
          </w:tcPr>
          <w:p>
            <w:pPr>
              <w:spacing w:after="0"/>
            </w:pPr>
            <w:r>
              <w:rPr>
                <w:rFonts w:ascii="Arial" w:hAnsi="Arial"/>
                <w:color w:val="5A626C"/>
                <w:sz w:val="19"/>
              </w:rPr>
              <w:t>This Privacy Policy explains how IP Factory collects, uses, shares, stores and protects personal and business information when you use the IP Factory SME Platform. It is designed to align with the platform’s current operating model and should be reviewed by qualified legal counsel before final publication.</w:t>
            </w:r>
          </w:p>
        </w:tc>
      </w:tr>
    </w:tbl>
    <w:p/>
    <w:p>
      <w:pPr>
        <w:pStyle w:val="Heading1"/>
      </w:pPr>
      <w:r>
        <w:t>1. Who We Are</w:t>
      </w:r>
    </w:p>
    <w:p>
      <w:r>
        <w:t>IP Factory (“IP Factory”, “we”, “us” or “our”) operates the IP Factory SME Platform and provides business diagnostics, reports, consultations, onboarding, assessments, advisory support and structured business-improvement services.</w:t>
      </w:r>
    </w:p>
    <w:p>
      <w:r>
        <w:t>For privacy questions or requests, contact info@ipfactory.co.</w:t>
      </w:r>
    </w:p>
    <w:p>
      <w:pPr>
        <w:pStyle w:val="Heading1"/>
      </w:pPr>
      <w:r>
        <w:t>2. Scope of This Policy</w:t>
      </w:r>
    </w:p>
    <w:p>
      <w:r>
        <w:t>This Policy applies to personal information processed when you visit or use the platform, complete a Free Business Check, book a consultation, make a payment, activate an account, upload files, receive reports, participate in an engagement, contact support or otherwise interact with IP Factory through the platform.</w:t>
      </w:r>
    </w:p>
    <w:p>
      <w:pPr>
        <w:pStyle w:val="Heading1"/>
      </w:pPr>
      <w:r>
        <w:t>3. Information We Collect</w:t>
      </w:r>
    </w:p>
    <w:p>
      <w:pPr>
        <w:pStyle w:val="Heading2"/>
      </w:pPr>
      <w:r>
        <w:t>3.1 Personal and contact information</w:t>
      </w:r>
    </w:p>
    <w:p>
      <w:pPr>
        <w:pStyle w:val="ListBullet"/>
        <w:ind w:left="317" w:hanging="144"/>
      </w:pPr>
      <w:r>
        <w:rPr>
          <w:rFonts w:ascii="Arial" w:hAnsi="Arial"/>
          <w:sz w:val="21"/>
        </w:rPr>
        <w:t>Name</w:t>
      </w:r>
    </w:p>
    <w:p>
      <w:pPr>
        <w:pStyle w:val="ListBullet"/>
        <w:ind w:left="317" w:hanging="144"/>
      </w:pPr>
      <w:r>
        <w:rPr>
          <w:rFonts w:ascii="Arial" w:hAnsi="Arial"/>
          <w:sz w:val="21"/>
        </w:rPr>
        <w:t>Email address</w:t>
      </w:r>
    </w:p>
    <w:p>
      <w:pPr>
        <w:pStyle w:val="ListBullet"/>
        <w:ind w:left="317" w:hanging="144"/>
      </w:pPr>
      <w:r>
        <w:rPr>
          <w:rFonts w:ascii="Arial" w:hAnsi="Arial"/>
          <w:sz w:val="21"/>
        </w:rPr>
        <w:t>Telephone or WhatsApp number</w:t>
      </w:r>
    </w:p>
    <w:p>
      <w:pPr>
        <w:pStyle w:val="ListBullet"/>
        <w:ind w:left="317" w:hanging="144"/>
      </w:pPr>
      <w:r>
        <w:rPr>
          <w:rFonts w:ascii="Arial" w:hAnsi="Arial"/>
          <w:sz w:val="21"/>
        </w:rPr>
        <w:t>Job title or relationship to a business</w:t>
      </w:r>
    </w:p>
    <w:p>
      <w:pPr>
        <w:pStyle w:val="ListBullet"/>
        <w:ind w:left="317" w:hanging="144"/>
      </w:pPr>
      <w:r>
        <w:rPr>
          <w:rFonts w:ascii="Arial" w:hAnsi="Arial"/>
          <w:sz w:val="21"/>
        </w:rPr>
        <w:t>Account and role information</w:t>
      </w:r>
    </w:p>
    <w:p>
      <w:pPr>
        <w:pStyle w:val="ListBullet"/>
        <w:ind w:left="317" w:hanging="144"/>
      </w:pPr>
      <w:r>
        <w:rPr>
          <w:rFonts w:ascii="Arial" w:hAnsi="Arial"/>
          <w:sz w:val="21"/>
        </w:rPr>
        <w:t>Consultation and support-contact details</w:t>
      </w:r>
    </w:p>
    <w:p>
      <w:pPr>
        <w:pStyle w:val="Heading2"/>
      </w:pPr>
      <w:r>
        <w:t>3.2 Business information</w:t>
      </w:r>
    </w:p>
    <w:p>
      <w:pPr>
        <w:pStyle w:val="ListBullet"/>
        <w:ind w:left="317" w:hanging="144"/>
      </w:pPr>
      <w:r>
        <w:rPr>
          <w:rFonts w:ascii="Arial" w:hAnsi="Arial"/>
          <w:sz w:val="21"/>
        </w:rPr>
        <w:t>Business name, sector and stage</w:t>
      </w:r>
    </w:p>
    <w:p>
      <w:pPr>
        <w:pStyle w:val="ListBullet"/>
        <w:ind w:left="317" w:hanging="144"/>
      </w:pPr>
      <w:r>
        <w:rPr>
          <w:rFonts w:ascii="Arial" w:hAnsi="Arial"/>
          <w:sz w:val="21"/>
        </w:rPr>
        <w:t>Business model, priorities, challenges and goals</w:t>
      </w:r>
    </w:p>
    <w:p>
      <w:pPr>
        <w:pStyle w:val="ListBullet"/>
        <w:ind w:left="317" w:hanging="144"/>
      </w:pPr>
      <w:r>
        <w:rPr>
          <w:rFonts w:ascii="Arial" w:hAnsi="Arial"/>
          <w:sz w:val="21"/>
        </w:rPr>
        <w:t>Operational, commercial, financial or organisational information supplied in assessments</w:t>
      </w:r>
    </w:p>
    <w:p>
      <w:pPr>
        <w:pStyle w:val="ListBullet"/>
        <w:ind w:left="317" w:hanging="144"/>
      </w:pPr>
      <w:r>
        <w:rPr>
          <w:rFonts w:ascii="Arial" w:hAnsi="Arial"/>
          <w:sz w:val="21"/>
        </w:rPr>
        <w:t>Responses to diagnostics, questionnaires and Current State activities</w:t>
      </w:r>
    </w:p>
    <w:p>
      <w:pPr>
        <w:pStyle w:val="ListBullet"/>
        <w:ind w:left="317" w:hanging="144"/>
      </w:pPr>
      <w:r>
        <w:rPr>
          <w:rFonts w:ascii="Arial" w:hAnsi="Arial"/>
          <w:sz w:val="21"/>
        </w:rPr>
        <w:t>Documents, files and other materials provided during an engagement</w:t>
      </w:r>
    </w:p>
    <w:p>
      <w:pPr>
        <w:pStyle w:val="Heading2"/>
      </w:pPr>
      <w:r>
        <w:t>3.3 Account and security information</w:t>
      </w:r>
    </w:p>
    <w:p>
      <w:pPr>
        <w:pStyle w:val="ListBullet"/>
        <w:ind w:left="317" w:hanging="144"/>
      </w:pPr>
      <w:r>
        <w:rPr>
          <w:rFonts w:ascii="Arial" w:hAnsi="Arial"/>
          <w:sz w:val="21"/>
        </w:rPr>
        <w:t>Account identifiers and business/workspace memberships</w:t>
      </w:r>
    </w:p>
    <w:p>
      <w:pPr>
        <w:pStyle w:val="ListBullet"/>
        <w:ind w:left="317" w:hanging="144"/>
      </w:pPr>
      <w:r>
        <w:rPr>
          <w:rFonts w:ascii="Arial" w:hAnsi="Arial"/>
          <w:sz w:val="21"/>
        </w:rPr>
        <w:t>Login and session information</w:t>
      </w:r>
    </w:p>
    <w:p>
      <w:pPr>
        <w:pStyle w:val="ListBullet"/>
        <w:ind w:left="317" w:hanging="144"/>
      </w:pPr>
      <w:r>
        <w:rPr>
          <w:rFonts w:ascii="Arial" w:hAnsi="Arial"/>
          <w:sz w:val="21"/>
        </w:rPr>
        <w:t>Security and audit events</w:t>
      </w:r>
    </w:p>
    <w:p>
      <w:pPr>
        <w:pStyle w:val="ListBullet"/>
        <w:ind w:left="317" w:hanging="144"/>
      </w:pPr>
      <w:r>
        <w:rPr>
          <w:rFonts w:ascii="Arial" w:hAnsi="Arial"/>
          <w:sz w:val="21"/>
        </w:rPr>
        <w:t>Password-reset, sign-in-link and account-activation activity</w:t>
      </w:r>
    </w:p>
    <w:p>
      <w:pPr>
        <w:pStyle w:val="ListBullet"/>
        <w:ind w:left="317" w:hanging="144"/>
      </w:pPr>
      <w:r>
        <w:rPr>
          <w:rFonts w:ascii="Arial" w:hAnsi="Arial"/>
          <w:sz w:val="21"/>
        </w:rPr>
        <w:t>Role and permission information</w:t>
      </w:r>
    </w:p>
    <w:p>
      <w:pPr>
        <w:pStyle w:val="Heading2"/>
      </w:pPr>
      <w:r>
        <w:t>3.4 Payment information</w:t>
      </w:r>
    </w:p>
    <w:p>
      <w:pPr>
        <w:pStyle w:val="ListBullet"/>
        <w:ind w:left="317" w:hanging="144"/>
      </w:pPr>
      <w:r>
        <w:rPr>
          <w:rFonts w:ascii="Arial" w:hAnsi="Arial"/>
          <w:sz w:val="21"/>
        </w:rPr>
        <w:t>Payment reference</w:t>
      </w:r>
    </w:p>
    <w:p>
      <w:pPr>
        <w:pStyle w:val="ListBullet"/>
        <w:ind w:left="317" w:hanging="144"/>
      </w:pPr>
      <w:r>
        <w:rPr>
          <w:rFonts w:ascii="Arial" w:hAnsi="Arial"/>
          <w:sz w:val="21"/>
        </w:rPr>
        <w:t>Amount and currency</w:t>
      </w:r>
    </w:p>
    <w:p>
      <w:pPr>
        <w:pStyle w:val="ListBullet"/>
        <w:ind w:left="317" w:hanging="144"/>
      </w:pPr>
      <w:r>
        <w:rPr>
          <w:rFonts w:ascii="Arial" w:hAnsi="Arial"/>
          <w:sz w:val="21"/>
        </w:rPr>
        <w:t>Payment status</w:t>
      </w:r>
    </w:p>
    <w:p>
      <w:pPr>
        <w:pStyle w:val="ListBullet"/>
        <w:ind w:left="317" w:hanging="144"/>
      </w:pPr>
      <w:r>
        <w:rPr>
          <w:rFonts w:ascii="Arial" w:hAnsi="Arial"/>
          <w:sz w:val="21"/>
        </w:rPr>
        <w:t>Transaction date/time</w:t>
      </w:r>
    </w:p>
    <w:p>
      <w:pPr>
        <w:pStyle w:val="ListBullet"/>
        <w:ind w:left="317" w:hanging="144"/>
      </w:pPr>
      <w:r>
        <w:rPr>
          <w:rFonts w:ascii="Arial" w:hAnsi="Arial"/>
          <w:sz w:val="21"/>
        </w:rPr>
        <w:t>Other limited metadata required to verify or reconcile a payment</w:t>
      </w:r>
    </w:p>
    <w:p>
      <w:r>
        <w:t>Payments may be processed by Paystack or another approved payment provider. IP Factory does not intentionally store full card numbers, CVVs or complete payment-card credentials.</w:t>
      </w:r>
    </w:p>
    <w:p>
      <w:pPr>
        <w:pStyle w:val="Heading2"/>
      </w:pPr>
      <w:r>
        <w:t>3.5 Scheduling information</w:t>
      </w:r>
    </w:p>
    <w:p>
      <w:pPr>
        <w:pStyle w:val="ListBullet"/>
        <w:ind w:left="317" w:hanging="144"/>
      </w:pPr>
      <w:r>
        <w:rPr>
          <w:rFonts w:ascii="Arial" w:hAnsi="Arial"/>
          <w:sz w:val="21"/>
        </w:rPr>
        <w:t>Booking date and time</w:t>
      </w:r>
    </w:p>
    <w:p>
      <w:pPr>
        <w:pStyle w:val="ListBullet"/>
        <w:ind w:left="317" w:hanging="144"/>
      </w:pPr>
      <w:r>
        <w:rPr>
          <w:rFonts w:ascii="Arial" w:hAnsi="Arial"/>
          <w:sz w:val="21"/>
        </w:rPr>
        <w:t>Discovery Call, Current State Assessment Session and other meeting details</w:t>
      </w:r>
    </w:p>
    <w:p>
      <w:pPr>
        <w:pStyle w:val="ListBullet"/>
        <w:ind w:left="317" w:hanging="144"/>
      </w:pPr>
      <w:r>
        <w:rPr>
          <w:rFonts w:ascii="Arial" w:hAnsi="Arial"/>
          <w:sz w:val="21"/>
        </w:rPr>
        <w:t>Contact information used for the booking</w:t>
      </w:r>
    </w:p>
    <w:p>
      <w:pPr>
        <w:pStyle w:val="ListBullet"/>
        <w:ind w:left="317" w:hanging="144"/>
      </w:pPr>
      <w:r>
        <w:rPr>
          <w:rFonts w:ascii="Arial" w:hAnsi="Arial"/>
          <w:sz w:val="21"/>
        </w:rPr>
        <w:t>Booking, rescheduling or cancellation information made available to us</w:t>
      </w:r>
    </w:p>
    <w:p>
      <w:pPr>
        <w:pStyle w:val="Heading2"/>
      </w:pPr>
      <w:r>
        <w:t>3.6 Technical information</w:t>
      </w:r>
    </w:p>
    <w:p>
      <w:pPr>
        <w:pStyle w:val="ListBullet"/>
        <w:ind w:left="317" w:hanging="144"/>
      </w:pPr>
      <w:r>
        <w:rPr>
          <w:rFonts w:ascii="Arial" w:hAnsi="Arial"/>
          <w:sz w:val="21"/>
        </w:rPr>
        <w:t>IP address</w:t>
      </w:r>
    </w:p>
    <w:p>
      <w:pPr>
        <w:pStyle w:val="ListBullet"/>
        <w:ind w:left="317" w:hanging="144"/>
      </w:pPr>
      <w:r>
        <w:rPr>
          <w:rFonts w:ascii="Arial" w:hAnsi="Arial"/>
          <w:sz w:val="21"/>
        </w:rPr>
        <w:t>Browser and device information</w:t>
      </w:r>
    </w:p>
    <w:p>
      <w:pPr>
        <w:pStyle w:val="ListBullet"/>
        <w:ind w:left="317" w:hanging="144"/>
      </w:pPr>
      <w:r>
        <w:rPr>
          <w:rFonts w:ascii="Arial" w:hAnsi="Arial"/>
          <w:sz w:val="21"/>
        </w:rPr>
        <w:t>Session identifiers</w:t>
      </w:r>
    </w:p>
    <w:p>
      <w:pPr>
        <w:pStyle w:val="ListBullet"/>
        <w:ind w:left="317" w:hanging="144"/>
      </w:pPr>
      <w:r>
        <w:rPr>
          <w:rFonts w:ascii="Arial" w:hAnsi="Arial"/>
          <w:sz w:val="21"/>
        </w:rPr>
        <w:t>Request timestamps</w:t>
      </w:r>
    </w:p>
    <w:p>
      <w:pPr>
        <w:pStyle w:val="ListBullet"/>
        <w:ind w:left="317" w:hanging="144"/>
      </w:pPr>
      <w:r>
        <w:rPr>
          <w:rFonts w:ascii="Arial" w:hAnsi="Arial"/>
          <w:sz w:val="21"/>
        </w:rPr>
        <w:t>Security logs</w:t>
      </w:r>
    </w:p>
    <w:p>
      <w:pPr>
        <w:pStyle w:val="ListBullet"/>
        <w:ind w:left="317" w:hanging="144"/>
      </w:pPr>
      <w:r>
        <w:rPr>
          <w:rFonts w:ascii="Arial" w:hAnsi="Arial"/>
          <w:sz w:val="21"/>
        </w:rPr>
        <w:t>Error and diagnostic logs</w:t>
      </w:r>
    </w:p>
    <w:p>
      <w:pPr>
        <w:pStyle w:val="Heading1"/>
      </w:pPr>
      <w:r>
        <w:t>4. How We Collect Information</w:t>
      </w:r>
    </w:p>
    <w:p>
      <w:r>
        <w:t>We collect information directly from you when you submit forms, complete assessments, make payments, create or activate an account, upload files, book consultations or contact us.</w:t>
      </w:r>
    </w:p>
    <w:p>
      <w:r>
        <w:t>We may also receive limited information from service providers that support payments, scheduling, hosting, email delivery, authentication, storage or other platform functions.</w:t>
      </w:r>
    </w:p>
    <w:p>
      <w:pPr>
        <w:pStyle w:val="Heading1"/>
      </w:pPr>
      <w:r>
        <w:t>5. How We Use Information</w:t>
      </w:r>
    </w:p>
    <w:p>
      <w:pPr>
        <w:pStyle w:val="ListBullet"/>
        <w:ind w:left="317" w:hanging="144"/>
      </w:pPr>
      <w:r>
        <w:rPr>
          <w:rFonts w:ascii="Arial" w:hAnsi="Arial"/>
          <w:sz w:val="21"/>
        </w:rPr>
        <w:t>Provide the Free Business Check and related results.</w:t>
      </w:r>
    </w:p>
    <w:p>
      <w:pPr>
        <w:pStyle w:val="ListBullet"/>
        <w:ind w:left="317" w:hanging="144"/>
      </w:pPr>
      <w:r>
        <w:rPr>
          <w:rFonts w:ascii="Arial" w:hAnsi="Arial"/>
          <w:sz w:val="21"/>
        </w:rPr>
        <w:t>Generate reports, summaries and recommendations.</w:t>
      </w:r>
    </w:p>
    <w:p>
      <w:pPr>
        <w:pStyle w:val="ListBullet"/>
        <w:ind w:left="317" w:hanging="144"/>
      </w:pPr>
      <w:r>
        <w:rPr>
          <w:rFonts w:ascii="Arial" w:hAnsi="Arial"/>
          <w:sz w:val="21"/>
        </w:rPr>
        <w:t>Schedule and administer consultations.</w:t>
      </w:r>
    </w:p>
    <w:p>
      <w:pPr>
        <w:pStyle w:val="ListBullet"/>
        <w:ind w:left="317" w:hanging="144"/>
      </w:pPr>
      <w:r>
        <w:rPr>
          <w:rFonts w:ascii="Arial" w:hAnsi="Arial"/>
          <w:sz w:val="21"/>
        </w:rPr>
        <w:t>Process, verify and reconcile payments.</w:t>
      </w:r>
    </w:p>
    <w:p>
      <w:pPr>
        <w:pStyle w:val="ListBullet"/>
        <w:ind w:left="317" w:hanging="144"/>
      </w:pPr>
      <w:r>
        <w:rPr>
          <w:rFonts w:ascii="Arial" w:hAnsi="Arial"/>
          <w:sz w:val="21"/>
        </w:rPr>
        <w:t>Create, activate and manage accounts and business workspaces.</w:t>
      </w:r>
    </w:p>
    <w:p>
      <w:pPr>
        <w:pStyle w:val="ListBullet"/>
        <w:ind w:left="317" w:hanging="144"/>
      </w:pPr>
      <w:r>
        <w:rPr>
          <w:rFonts w:ascii="Arial" w:hAnsi="Arial"/>
          <w:sz w:val="21"/>
        </w:rPr>
        <w:t>Onboard clients and administer engagements.</w:t>
      </w:r>
    </w:p>
    <w:p>
      <w:pPr>
        <w:pStyle w:val="ListBullet"/>
        <w:ind w:left="317" w:hanging="144"/>
      </w:pPr>
      <w:r>
        <w:rPr>
          <w:rFonts w:ascii="Arial" w:hAnsi="Arial"/>
          <w:sz w:val="21"/>
        </w:rPr>
        <w:t>Conduct Current State assessments and other business-support activities.</w:t>
      </w:r>
    </w:p>
    <w:p>
      <w:pPr>
        <w:pStyle w:val="ListBullet"/>
        <w:ind w:left="317" w:hanging="144"/>
      </w:pPr>
      <w:r>
        <w:rPr>
          <w:rFonts w:ascii="Arial" w:hAnsi="Arial"/>
          <w:sz w:val="21"/>
        </w:rPr>
        <w:t>Deliver reports, files, tasks, sessions and other engagement materials.</w:t>
      </w:r>
    </w:p>
    <w:p>
      <w:pPr>
        <w:pStyle w:val="ListBullet"/>
        <w:ind w:left="317" w:hanging="144"/>
      </w:pPr>
      <w:r>
        <w:rPr>
          <w:rFonts w:ascii="Arial" w:hAnsi="Arial"/>
          <w:sz w:val="21"/>
        </w:rPr>
        <w:t>Send transactional emails, account-access or password-reset links, security communications and, where enabled, booking or service reminders.</w:t>
      </w:r>
    </w:p>
    <w:p>
      <w:pPr>
        <w:pStyle w:val="ListBullet"/>
        <w:ind w:left="317" w:hanging="144"/>
      </w:pPr>
      <w:r>
        <w:rPr>
          <w:rFonts w:ascii="Arial" w:hAnsi="Arial"/>
          <w:sz w:val="21"/>
        </w:rPr>
        <w:t>Provide customer support and investigate account or payment issues.</w:t>
      </w:r>
    </w:p>
    <w:p>
      <w:pPr>
        <w:pStyle w:val="ListBullet"/>
        <w:ind w:left="317" w:hanging="144"/>
      </w:pPr>
      <w:r>
        <w:rPr>
          <w:rFonts w:ascii="Arial" w:hAnsi="Arial"/>
          <w:sz w:val="21"/>
        </w:rPr>
        <w:t>Prevent fraud, abuse and unauthorised access.</w:t>
      </w:r>
    </w:p>
    <w:p>
      <w:pPr>
        <w:pStyle w:val="ListBullet"/>
        <w:ind w:left="317" w:hanging="144"/>
      </w:pPr>
      <w:r>
        <w:rPr>
          <w:rFonts w:ascii="Arial" w:hAnsi="Arial"/>
          <w:sz w:val="21"/>
        </w:rPr>
        <w:t>Maintain audit, security and operational records.</w:t>
      </w:r>
    </w:p>
    <w:p>
      <w:pPr>
        <w:pStyle w:val="ListBullet"/>
        <w:ind w:left="317" w:hanging="144"/>
      </w:pPr>
      <w:r>
        <w:rPr>
          <w:rFonts w:ascii="Arial" w:hAnsi="Arial"/>
          <w:sz w:val="21"/>
        </w:rPr>
        <w:t>Improve service quality, reliability and performance.</w:t>
      </w:r>
    </w:p>
    <w:p>
      <w:pPr>
        <w:pStyle w:val="ListBullet"/>
        <w:ind w:left="317" w:hanging="144"/>
      </w:pPr>
      <w:r>
        <w:rPr>
          <w:rFonts w:ascii="Arial" w:hAnsi="Arial"/>
          <w:sz w:val="21"/>
        </w:rPr>
        <w:t>Meet legal, regulatory and contractual obligations.</w:t>
      </w:r>
    </w:p>
    <w:p>
      <w:pPr>
        <w:pStyle w:val="Heading1"/>
      </w:pPr>
      <w:r>
        <w:t>6. Automated and AI-Assisted Processing</w:t>
      </w:r>
    </w:p>
    <w:p>
      <w:r>
        <w:t>The platform uses automated rules to evaluate Business Checks and generate certain recommendations and reports. Some Business Check summary wording may also be assisted by an AI service. Where AI assistance is unavailable, rule-based outputs may be used instead.</w:t>
      </w:r>
    </w:p>
    <w:p>
      <w:r>
        <w:t>Full Reports and other digital outputs may be generated automatically from information you submit and predefined rules, and may be delivered without human review unless the relevant service states otherwise. These outputs are intended to support business decision-making and should be reviewed in context before material decisions are made.</w:t>
      </w:r>
    </w:p>
    <w:p>
      <w:r>
        <w:t>Where automated or AI-assisted processing is used, IP Factory seeks to apply reasonable safeguards appropriate to the service and the nature of the information involved.</w:t>
      </w:r>
    </w:p>
    <w:p>
      <w:pPr>
        <w:pStyle w:val="Heading1"/>
      </w:pPr>
      <w:r>
        <w:t>7. Legal Bases and Reasons for Processing</w:t>
      </w:r>
    </w:p>
    <w:p>
      <w:r>
        <w:t>Depending on the circumstances, IP Factory may process personal information because it is necessary to provide a requested service or perform a contract, because you have provided consent, because processing supports legitimate business or security interests, or because processing is required by law.</w:t>
      </w:r>
    </w:p>
    <w:p>
      <w:r>
        <w:t>IP Factory intends to process personal information in a fair, lawful, transparent and accountable manner consistent with applicable Nigerian data-protection requirements.</w:t>
      </w:r>
    </w:p>
    <w:p>
      <w:pPr>
        <w:pStyle w:val="Heading1"/>
      </w:pPr>
      <w:r>
        <w:t>8. How We Share Information</w:t>
      </w:r>
    </w:p>
    <w:p>
      <w:r>
        <w:t>We do not sell personal information.</w:t>
      </w:r>
    </w:p>
    <w:p>
      <w:r>
        <w:t>We may share information with service providers where reasonably necessary to operate the platform or provide a service. Depending on the feature used, providers may include:</w:t>
      </w:r>
    </w:p>
    <w:p>
      <w:pPr>
        <w:pStyle w:val="ListBullet"/>
        <w:ind w:left="317" w:hanging="144"/>
      </w:pPr>
      <w:r>
        <w:rPr>
          <w:rFonts w:ascii="Arial" w:hAnsi="Arial"/>
          <w:sz w:val="21"/>
        </w:rPr>
        <w:t>Supabase, for database and related infrastructure services.</w:t>
      </w:r>
    </w:p>
    <w:p>
      <w:pPr>
        <w:pStyle w:val="ListBullet"/>
        <w:ind w:left="317" w:hanging="144"/>
      </w:pPr>
      <w:r>
        <w:rPr>
          <w:rFonts w:ascii="Arial" w:hAnsi="Arial"/>
          <w:sz w:val="21"/>
        </w:rPr>
        <w:t>GoDaddy and/or Vercel, for hosting and deployment infrastructure, as applicable.</w:t>
      </w:r>
    </w:p>
    <w:p>
      <w:pPr>
        <w:pStyle w:val="ListBullet"/>
        <w:ind w:left="317" w:hanging="144"/>
      </w:pPr>
      <w:r>
        <w:rPr>
          <w:rFonts w:ascii="Arial" w:hAnsi="Arial"/>
          <w:sz w:val="21"/>
        </w:rPr>
        <w:t>Resend, for transactional email delivery.</w:t>
      </w:r>
    </w:p>
    <w:p>
      <w:pPr>
        <w:pStyle w:val="ListBullet"/>
        <w:ind w:left="317" w:hanging="144"/>
      </w:pPr>
      <w:r>
        <w:rPr>
          <w:rFonts w:ascii="Arial" w:hAnsi="Arial"/>
          <w:sz w:val="21"/>
        </w:rPr>
        <w:t>Paystack, for payment processing and verification.</w:t>
      </w:r>
    </w:p>
    <w:p>
      <w:pPr>
        <w:pStyle w:val="ListBullet"/>
        <w:ind w:left="317" w:hanging="144"/>
      </w:pPr>
      <w:r>
        <w:rPr>
          <w:rFonts w:ascii="Arial" w:hAnsi="Arial"/>
          <w:sz w:val="21"/>
        </w:rPr>
        <w:t>Calendly, for consultation scheduling.</w:t>
      </w:r>
    </w:p>
    <w:p>
      <w:pPr>
        <w:pStyle w:val="ListBullet"/>
        <w:ind w:left="317" w:hanging="144"/>
      </w:pPr>
      <w:r>
        <w:rPr>
          <w:rFonts w:ascii="Arial" w:hAnsi="Arial"/>
          <w:sz w:val="21"/>
        </w:rPr>
        <w:t>Other approved infrastructure, storage, analytics or AI service providers where required for a specific platform function.</w:t>
      </w:r>
    </w:p>
    <w:p>
      <w:r>
        <w:t>Service providers should receive only the information reasonably necessary for their role and may be subject to their own privacy notices and contractual obligations.</w:t>
      </w:r>
    </w:p>
    <w:p>
      <w:pPr>
        <w:pStyle w:val="Heading1"/>
      </w:pPr>
      <w:r>
        <w:t>9. Payments</w:t>
      </w:r>
    </w:p>
    <w:p>
      <w:r>
        <w:t>Where you make a payment, payment information may be collected directly by Paystack or another payment provider. IP Factory generally receives transaction confirmation and related metadata rather than full card details.</w:t>
      </w:r>
    </w:p>
    <w:p>
      <w:r>
        <w:t>We may retain payment references and status information for reconciliation, customer support, accounting, fraud prevention and legal record-keeping.</w:t>
      </w:r>
    </w:p>
    <w:p>
      <w:pPr>
        <w:pStyle w:val="Heading1"/>
      </w:pPr>
      <w:r>
        <w:t>10. Email Communications</w:t>
      </w:r>
    </w:p>
    <w:p>
      <w:r>
        <w:t>Transactional emails may be sent through Resend or another approved email provider. These may include Business Check results, account invitations, sign-in links, password-reset messages, payment confirmations, consultation information, onboarding messages, reports, security communications and, where enabled, reminders or other service notifications.</w:t>
      </w:r>
    </w:p>
    <w:p>
      <w:r>
        <w:t>Email providers may process delivery information needed to transmit, troubleshoot or secure those messages.</w:t>
      </w:r>
    </w:p>
    <w:p>
      <w:pPr>
        <w:pStyle w:val="Heading1"/>
      </w:pPr>
      <w:r>
        <w:t>11. Scheduling</w:t>
      </w:r>
    </w:p>
    <w:p>
      <w:r>
        <w:t>Where Calendly or another scheduling provider is used, booking information may be processed by that provider. IP Factory may receive booking details necessary to manage Discovery Calls, Current State Assessment Sessions and related client journeys. Depending on the integration available, cancellation or rescheduling information may not always be synchronised automatically back to the IP Factory platform.</w:t>
      </w:r>
    </w:p>
    <w:p>
      <w:pPr>
        <w:pStyle w:val="Heading1"/>
      </w:pPr>
      <w:r>
        <w:t>12. Cookies and Sessions</w:t>
      </w:r>
    </w:p>
    <w:p>
      <w:r>
        <w:t>The platform may use cookies or similar technologies that are necessary to keep users signed in, protect sessions, maintain workspace context, remember essential application state and support security.</w:t>
      </w:r>
    </w:p>
    <w:p>
      <w:r>
        <w:t>Email addresses and related account-security information may also be processed to issue account invitations, sign-in links and password-reset links, and to protect accounts from unauthorised access. Access links should be treated as confidential.</w:t>
      </w:r>
    </w:p>
    <w:p>
      <w:r>
        <w:t>Where non-essential analytics or marketing technologies are introduced in future, this Policy and any required consent mechanism should be updated accordingly.</w:t>
      </w:r>
    </w:p>
    <w:p>
      <w:pPr>
        <w:pStyle w:val="Heading1"/>
      </w:pPr>
      <w:r>
        <w:t>13. Data Security</w:t>
      </w:r>
    </w:p>
    <w:p>
      <w:r>
        <w:t>IP Factory uses reasonable technical and organisational measures designed to protect information against unauthorised access, misuse, alteration or loss.</w:t>
      </w:r>
    </w:p>
    <w:p>
      <w:r>
        <w:t>Measures may include encrypted connections, password hashing, secure session cookies, role-based access controls, restricted administrative access, audit logging and security controls provided by trusted infrastructure providers.</w:t>
      </w:r>
    </w:p>
    <w:p>
      <w:r>
        <w:t>No internet-based service can guarantee absolute security.</w:t>
      </w:r>
    </w:p>
    <w:p>
      <w:pPr>
        <w:pStyle w:val="Heading1"/>
      </w:pPr>
      <w:r>
        <w:t>14. Access Controls and Confidential Business Information</w:t>
      </w:r>
    </w:p>
    <w:p>
      <w:r>
        <w:t>Access to client and business information is intended to be restricted according to account permissions, business relationships and assigned internal roles.</w:t>
      </w:r>
    </w:p>
    <w:p>
      <w:r>
        <w:t>Internal IP Factory users may have different levels of access depending on their responsibilities. Users should not share account credentials or provide unauthorised persons with access to their workspace.</w:t>
      </w:r>
    </w:p>
    <w:p>
      <w:pPr>
        <w:pStyle w:val="Heading1"/>
      </w:pPr>
      <w:r>
        <w:t>15. Data Retention</w:t>
      </w:r>
    </w:p>
    <w:p>
      <w:r>
        <w:t>We retain information only for as long as reasonably necessary for the purpose for which it was collected, including service delivery, engagement management, accounting, support, security, dispute resolution and legal or regulatory obligations.</w:t>
      </w:r>
    </w:p>
    <w:p>
      <w:r>
        <w:t>Different categories of information may be retained for different periods. When information is no longer reasonably required, it may be deleted, anonymised or securely archived.</w:t>
      </w:r>
    </w:p>
    <w:p>
      <w:r>
        <w:t>IP Factory should periodically review retention periods as the platform and regulatory obligations develop.</w:t>
      </w:r>
    </w:p>
    <w:p>
      <w:pPr>
        <w:pStyle w:val="Heading1"/>
      </w:pPr>
      <w:r>
        <w:t>16. Your Rights</w:t>
      </w:r>
    </w:p>
    <w:p>
      <w:r>
        <w:t>Subject to applicable law, you may have rights in relation to your personal information, including rights to request access, correction or deletion, object to certain processing, withdraw consent where consent is relied upon, and obtain information about how your data is used.</w:t>
      </w:r>
    </w:p>
    <w:p>
      <w:r>
        <w:t>Requests should be sent to info@ipfactory.co. We may need to verify your identity before acting on a request, and some requests may be limited where information must be retained for legal, security, contractual or legitimate record-keeping reasons.</w:t>
      </w:r>
    </w:p>
    <w:p>
      <w:pPr>
        <w:pStyle w:val="Heading1"/>
      </w:pPr>
      <w:r>
        <w:t>17. Business Information and Information About Other People</w:t>
      </w:r>
    </w:p>
    <w:p>
      <w:r>
        <w:t>Some information submitted through the platform relates to a business rather than an individual. However, business documents and assessments may still contain personal information about founders, staff, customers, suppliers or other people.</w:t>
      </w:r>
    </w:p>
    <w:p>
      <w:r>
        <w:t>You should only provide information that you are authorised to share and should avoid submitting unnecessary sensitive personal information.</w:t>
      </w:r>
    </w:p>
    <w:p>
      <w:pPr>
        <w:pStyle w:val="Heading1"/>
      </w:pPr>
      <w:r>
        <w:t>18. International Service Providers</w:t>
      </w:r>
    </w:p>
    <w:p>
      <w:r>
        <w:t>Some service providers used by IP Factory may process or store information outside Nigeria. Where this occurs, IP Factory will seek to use providers and arrangements that offer appropriate data-protection and security safeguards consistent with applicable requirements.</w:t>
      </w:r>
    </w:p>
    <w:p>
      <w:pPr>
        <w:pStyle w:val="Heading1"/>
      </w:pPr>
      <w:r>
        <w:t>19. Children</w:t>
      </w:r>
    </w:p>
    <w:p>
      <w:r>
        <w:t>The platform is intended for adults and business users. IP Factory does not knowingly provide accounts or paid services to persons under 18.</w:t>
      </w:r>
    </w:p>
    <w:p>
      <w:pPr>
        <w:pStyle w:val="Heading1"/>
      </w:pPr>
      <w:r>
        <w:t>20. Marketing Communications</w:t>
      </w:r>
    </w:p>
    <w:p>
      <w:r>
        <w:t>Transactional communications required to operate a service may be sent independently of marketing preferences.</w:t>
      </w:r>
    </w:p>
    <w:p>
      <w:r>
        <w:t>Where IP Factory sends optional promotional or marketing communications, users should be given an appropriate way to opt out where required.</w:t>
      </w:r>
    </w:p>
    <w:p>
      <w:pPr>
        <w:pStyle w:val="Heading1"/>
      </w:pPr>
      <w:r>
        <w:t>21. Security Incidents</w:t>
      </w:r>
    </w:p>
    <w:p>
      <w:r>
        <w:t>If IP Factory becomes aware of a security incident affecting personal information, we will investigate and take reasonable steps to contain, assess and address the incident.</w:t>
      </w:r>
    </w:p>
    <w:p>
      <w:r>
        <w:t>Where required by applicable law, affected individuals and/or the relevant authority will be notified.</w:t>
      </w:r>
    </w:p>
    <w:p>
      <w:pPr>
        <w:pStyle w:val="Heading1"/>
      </w:pPr>
      <w:r>
        <w:t>22. Third-Party Links</w:t>
      </w:r>
    </w:p>
    <w:p>
      <w:r>
        <w:t>The platform may contain links to third-party websites or services. IP Factory is not responsible for the privacy practices of external services that are not under our control.</w:t>
      </w:r>
    </w:p>
    <w:p>
      <w:pPr>
        <w:pStyle w:val="Heading1"/>
      </w:pPr>
      <w:r>
        <w:t>23. Changes to This Privacy Policy</w:t>
      </w:r>
    </w:p>
    <w:p>
      <w:r>
        <w:t>We may update this Privacy Policy as the platform, our services or applicable requirements change. The current version and effective date will be published on the platform.</w:t>
      </w:r>
    </w:p>
    <w:p>
      <w:pPr>
        <w:pStyle w:val="Heading1"/>
      </w:pPr>
      <w:r>
        <w:t>24. Complaints and Contact</w:t>
      </w:r>
    </w:p>
    <w:p>
      <w:r>
        <w:t>Questions, requests or concerns about privacy or personal information may be sent to:</w:t>
      </w:r>
    </w:p>
    <w:p>
      <w:r>
        <w:t>IP Factory</w:t>
        <w:br/>
        <w:t>Email: info@ipfactory.co</w:t>
      </w:r>
    </w:p>
    <w:p>
      <w:r>
        <w:t>We will take reasonable steps to review and respond to privacy concerns. Nothing in this Policy limits any right you may have to raise a matter with an applicable data-protection or consumer-protection authority.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26C"/>
        <w:sz w:val="16"/>
      </w:rPr>
      <w:t>IP Factory | info@ipfactory.co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43452"/>
        <w:sz w:val="17"/>
      </w:rPr>
      <w:t>IP FACTORY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4345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4345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434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